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2" w:rsidRDefault="005D1C82" w:rsidP="005D1C82">
      <w:pPr>
        <w:tabs>
          <w:tab w:val="left" w:pos="3915"/>
        </w:tabs>
        <w:jc w:val="center"/>
        <w:rPr>
          <w:szCs w:val="28"/>
        </w:rPr>
      </w:pPr>
      <w:r>
        <w:rPr>
          <w:szCs w:val="28"/>
        </w:rPr>
        <w:t>НОВОСИБИРСКАЯ ОБЛАСТЬ</w:t>
      </w:r>
    </w:p>
    <w:p w:rsidR="005D1C82" w:rsidRDefault="005D1C82" w:rsidP="005D1C82">
      <w:pPr>
        <w:tabs>
          <w:tab w:val="left" w:pos="30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КРАСНОЗЕРСКИЙ РАЙОН</w:t>
      </w:r>
    </w:p>
    <w:p w:rsidR="005D1C82" w:rsidRDefault="005D1C82" w:rsidP="005D1C82">
      <w:pPr>
        <w:tabs>
          <w:tab w:val="left" w:pos="30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НИЖНЕЧЕРЕМОШИНСКИЙ СЕЛЬСОВЕТ</w:t>
      </w: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caps/>
          <w:szCs w:val="28"/>
        </w:rPr>
      </w:pPr>
    </w:p>
    <w:p w:rsidR="005D1C82" w:rsidRDefault="00801B36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ПРОГНОЗ</w:t>
      </w:r>
    </w:p>
    <w:p w:rsidR="005D1C82" w:rsidRDefault="005D1C82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СОЦИАЛЬНО  -  ЭКОНОМИЧЕСКОГО РАЗВИТИЯ</w:t>
      </w:r>
    </w:p>
    <w:p w:rsidR="005D1C82" w:rsidRDefault="005D1C82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НИЖНЕЧЕРЕМОШИНСКОГО  СЕЛЬСОВЕТА</w:t>
      </w:r>
    </w:p>
    <w:p w:rsidR="005D1C82" w:rsidRDefault="005D1C82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</w:t>
      </w:r>
      <w:r w:rsidR="003440DA">
        <w:rPr>
          <w:b/>
          <w:bCs/>
          <w:szCs w:val="28"/>
        </w:rPr>
        <w:t>2</w:t>
      </w:r>
      <w:r w:rsidR="00D94CD1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ГОД И ПЛАНОВЫЙ ПЕРИОД 20</w:t>
      </w:r>
      <w:r w:rsidR="003440DA">
        <w:rPr>
          <w:b/>
          <w:bCs/>
          <w:szCs w:val="28"/>
        </w:rPr>
        <w:t>2</w:t>
      </w:r>
      <w:r w:rsidR="00D94CD1">
        <w:rPr>
          <w:b/>
          <w:bCs/>
          <w:szCs w:val="28"/>
        </w:rPr>
        <w:t>2</w:t>
      </w:r>
      <w:proofErr w:type="gramStart"/>
      <w:r>
        <w:rPr>
          <w:b/>
          <w:bCs/>
          <w:szCs w:val="28"/>
        </w:rPr>
        <w:t xml:space="preserve"> </w:t>
      </w:r>
      <w:r w:rsidR="007D79EE">
        <w:rPr>
          <w:b/>
          <w:bCs/>
          <w:szCs w:val="28"/>
        </w:rPr>
        <w:t>И</w:t>
      </w:r>
      <w:proofErr w:type="gramEnd"/>
      <w:r>
        <w:rPr>
          <w:b/>
          <w:bCs/>
          <w:szCs w:val="28"/>
        </w:rPr>
        <w:t xml:space="preserve"> 20</w:t>
      </w:r>
      <w:r w:rsidR="00801B36">
        <w:rPr>
          <w:b/>
          <w:bCs/>
          <w:szCs w:val="28"/>
        </w:rPr>
        <w:t>2</w:t>
      </w:r>
      <w:r w:rsidR="00D94CD1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</w:t>
      </w:r>
      <w:r w:rsidR="003440DA">
        <w:rPr>
          <w:b/>
          <w:bCs/>
          <w:szCs w:val="28"/>
        </w:rPr>
        <w:t>Ы</w:t>
      </w:r>
      <w:r>
        <w:rPr>
          <w:b/>
          <w:bCs/>
          <w:szCs w:val="28"/>
        </w:rPr>
        <w:t>.</w:t>
      </w:r>
    </w:p>
    <w:p w:rsidR="005D1C82" w:rsidRDefault="005D1C82" w:rsidP="005D1C82">
      <w:pPr>
        <w:spacing w:line="360" w:lineRule="auto"/>
        <w:rPr>
          <w:b/>
          <w:bCs/>
          <w:caps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  <w:r>
        <w:t xml:space="preserve">с. </w:t>
      </w:r>
      <w:proofErr w:type="spellStart"/>
      <w:r>
        <w:t>Нижнечеремошное</w:t>
      </w:r>
      <w:proofErr w:type="spellEnd"/>
      <w:r>
        <w:t>, 20</w:t>
      </w:r>
      <w:r w:rsidR="00D94CD1">
        <w:t>20</w:t>
      </w: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130D3F" w:rsidRDefault="00130D3F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130D3F" w:rsidRDefault="00130D3F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5D1C82" w:rsidRPr="00A913FA" w:rsidRDefault="005D1C82" w:rsidP="005D1C82">
      <w:pPr>
        <w:ind w:firstLine="709"/>
        <w:jc w:val="both"/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lastRenderedPageBreak/>
        <w:t>1. Цели и задачи социально-экономического развития   Нижнечеремошинского сельсовета Краснозерского района  в среднесрочной перспективе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На основе итогов социально-экономического развития муниципального </w:t>
      </w:r>
      <w:r w:rsidRPr="00A913FA">
        <w:rPr>
          <w:sz w:val="22"/>
          <w:szCs w:val="22"/>
          <w:shd w:val="clear" w:color="auto" w:fill="FFFFFF"/>
        </w:rPr>
        <w:t>образования за период</w:t>
      </w:r>
      <w:r w:rsidRPr="00A913FA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913FA">
        <w:rPr>
          <w:sz w:val="22"/>
          <w:szCs w:val="22"/>
        </w:rPr>
        <w:t>-201</w:t>
      </w:r>
      <w:r>
        <w:rPr>
          <w:sz w:val="22"/>
          <w:szCs w:val="22"/>
        </w:rPr>
        <w:t>4</w:t>
      </w:r>
      <w:r w:rsidRPr="00A913FA">
        <w:rPr>
          <w:sz w:val="22"/>
          <w:szCs w:val="22"/>
        </w:rPr>
        <w:t xml:space="preserve"> годов,  перед муниципальным образованием Нижнечеремошинского сельсовета в среднесрочной перспективе стоят следующие цели и задачи:</w:t>
      </w:r>
    </w:p>
    <w:p w:rsidR="005D1C82" w:rsidRPr="00A913FA" w:rsidRDefault="005D1C82" w:rsidP="005D1C82">
      <w:pPr>
        <w:pStyle w:val="a7"/>
        <w:jc w:val="both"/>
        <w:rPr>
          <w:b/>
          <w:bCs/>
          <w:i/>
          <w:sz w:val="22"/>
          <w:szCs w:val="22"/>
        </w:rPr>
      </w:pPr>
      <w:r w:rsidRPr="00A913FA">
        <w:rPr>
          <w:b/>
          <w:bCs/>
          <w:i/>
          <w:sz w:val="22"/>
          <w:szCs w:val="22"/>
        </w:rPr>
        <w:t>В области  демографии, уровня жизни.</w:t>
      </w:r>
    </w:p>
    <w:p w:rsidR="005D1C82" w:rsidRPr="00A913FA" w:rsidRDefault="005D1C82" w:rsidP="005D1C82">
      <w:pPr>
        <w:pStyle w:val="a7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Цели 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5D1C82" w:rsidRPr="00A913FA" w:rsidRDefault="005D1C82" w:rsidP="005D1C82">
      <w:pPr>
        <w:pStyle w:val="a7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Задачи 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Реализация на территории Нижнечеремошинского сельсовета «Программы по улучшению демографической ситуации муниципального образования Нижнечеремошинского сельсовета на 20</w:t>
      </w:r>
      <w:r w:rsidR="001A615C">
        <w:rPr>
          <w:sz w:val="22"/>
          <w:szCs w:val="22"/>
        </w:rPr>
        <w:t>21</w:t>
      </w:r>
      <w:r w:rsidRPr="00A913FA">
        <w:rPr>
          <w:sz w:val="22"/>
          <w:szCs w:val="22"/>
        </w:rPr>
        <w:t>-20</w:t>
      </w:r>
      <w:r w:rsidR="001A615C">
        <w:rPr>
          <w:sz w:val="22"/>
          <w:szCs w:val="22"/>
        </w:rPr>
        <w:t>23</w:t>
      </w:r>
      <w:r w:rsidRPr="00A913FA">
        <w:rPr>
          <w:sz w:val="22"/>
          <w:szCs w:val="22"/>
        </w:rPr>
        <w:t xml:space="preserve"> гг.».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Повышение уровня рождаемости, развитие и укрепление семьи.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Оптимизация миграционных процессов. 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Обеспечение роста реальных денежных доходов</w:t>
      </w: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здравоохранения:</w:t>
      </w:r>
    </w:p>
    <w:p w:rsidR="005D1C82" w:rsidRPr="00A913FA" w:rsidRDefault="005D1C82" w:rsidP="005D1C82">
      <w:pPr>
        <w:ind w:firstLine="720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ценностей, продолжительность жизни, уровень физического и психического здоровья людей.</w:t>
      </w:r>
    </w:p>
    <w:p w:rsidR="005D1C82" w:rsidRPr="00A913FA" w:rsidRDefault="005D1C82" w:rsidP="005D1C82">
      <w:pPr>
        <w:jc w:val="both"/>
        <w:rPr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Задачи: </w:t>
      </w:r>
    </w:p>
    <w:p w:rsidR="005D1C82" w:rsidRPr="00A913FA" w:rsidRDefault="005D1C82" w:rsidP="007D79EE">
      <w:pPr>
        <w:pStyle w:val="a7"/>
        <w:ind w:left="142" w:firstLine="0"/>
        <w:rPr>
          <w:sz w:val="22"/>
          <w:szCs w:val="22"/>
        </w:rPr>
      </w:pPr>
      <w:r w:rsidRPr="00A913FA">
        <w:rPr>
          <w:sz w:val="22"/>
          <w:szCs w:val="22"/>
        </w:rPr>
        <w:t xml:space="preserve">1. Усиление </w:t>
      </w:r>
      <w:proofErr w:type="gramStart"/>
      <w:r w:rsidRPr="00A913FA">
        <w:rPr>
          <w:sz w:val="22"/>
          <w:szCs w:val="22"/>
        </w:rPr>
        <w:t>контроля за</w:t>
      </w:r>
      <w:proofErr w:type="gramEnd"/>
      <w:r w:rsidRPr="00A913FA">
        <w:rPr>
          <w:sz w:val="22"/>
          <w:szCs w:val="22"/>
        </w:rPr>
        <w:t xml:space="preserve"> организацией и качеством оказания медицинских услуг. </w:t>
      </w: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образования: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 </w:t>
      </w: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a7"/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Сохранение сети общеобразовательных учреждений и детских дошкольных учреждений.</w:t>
      </w:r>
    </w:p>
    <w:p w:rsidR="005D1C82" w:rsidRPr="00A913FA" w:rsidRDefault="005D1C82" w:rsidP="005D1C82">
      <w:pPr>
        <w:pStyle w:val="a7"/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Воспитание патриотизма, гражданственности, повышение нравственности  подрастающего поколения.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Развитие семейных форм устройства детей-сирот и детей, оставшихся без попечения родителей;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A913FA">
        <w:rPr>
          <w:sz w:val="22"/>
          <w:szCs w:val="22"/>
        </w:rPr>
        <w:t>табакокурения</w:t>
      </w:r>
      <w:proofErr w:type="spellEnd"/>
      <w:r w:rsidRPr="00A913FA">
        <w:rPr>
          <w:sz w:val="22"/>
          <w:szCs w:val="22"/>
        </w:rPr>
        <w:t xml:space="preserve"> </w:t>
      </w:r>
      <w:proofErr w:type="gramStart"/>
      <w:r w:rsidRPr="00A913FA">
        <w:rPr>
          <w:sz w:val="22"/>
          <w:szCs w:val="22"/>
        </w:rPr>
        <w:t>среди</w:t>
      </w:r>
      <w:proofErr w:type="gramEnd"/>
      <w:r w:rsidRPr="00A913FA">
        <w:rPr>
          <w:sz w:val="22"/>
          <w:szCs w:val="22"/>
        </w:rPr>
        <w:t xml:space="preserve"> обучающихся;</w:t>
      </w:r>
    </w:p>
    <w:p w:rsidR="005D1C82" w:rsidRPr="00A913FA" w:rsidRDefault="005D1C82" w:rsidP="005D1C82">
      <w:pPr>
        <w:tabs>
          <w:tab w:val="left" w:pos="851"/>
        </w:tabs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tabs>
          <w:tab w:val="left" w:pos="851"/>
        </w:tabs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культуры: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культуры, обогащение культурной жизни людей.</w:t>
      </w:r>
    </w:p>
    <w:p w:rsidR="005D1C82" w:rsidRPr="00A913FA" w:rsidRDefault="005D1C82" w:rsidP="005D1C82">
      <w:pPr>
        <w:tabs>
          <w:tab w:val="left" w:pos="851"/>
        </w:tabs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Повышение интеллектуального и нравственного уровня молодежи.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Развитие системы библиотечного обслуживания населения.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5. Сохранение  и развитие народной культуры и самодеятельного творчества.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физической культуры и спорта: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Формирование здорового образа жизни населения, создание оптимальных условий для развития массовой физической культуры и спорта. Повышение уровня физического здоровья.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 xml:space="preserve">1. Укрепление и развитие физкультурно-оздоровительных объектов, оснащение их инвентарем и </w:t>
      </w:r>
      <w:r w:rsidRPr="00A913FA">
        <w:rPr>
          <w:sz w:val="22"/>
          <w:szCs w:val="22"/>
        </w:rPr>
        <w:lastRenderedPageBreak/>
        <w:t>оборудованием;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 w:rsidRPr="00A913FA">
        <w:rPr>
          <w:sz w:val="22"/>
          <w:szCs w:val="22"/>
        </w:rPr>
        <w:t>в</w:t>
      </w:r>
      <w:proofErr w:type="gramEnd"/>
      <w:r w:rsidRPr="00A913FA">
        <w:rPr>
          <w:sz w:val="22"/>
          <w:szCs w:val="22"/>
        </w:rPr>
        <w:t xml:space="preserve"> образовательных учреждений.</w:t>
      </w:r>
    </w:p>
    <w:p w:rsidR="005D1C82" w:rsidRPr="00A913FA" w:rsidRDefault="005D1C82" w:rsidP="005D1C82">
      <w:pPr>
        <w:numPr>
          <w:ilvl w:val="2"/>
          <w:numId w:val="2"/>
        </w:numPr>
        <w:ind w:left="0"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Участие в районных и областных спортивных мероприятиях.</w:t>
      </w: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обеспечения законности и правопорядка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Нижнечеремошинского сельсовета.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ab/>
        <w:t>Основные задачи: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 xml:space="preserve"> проведение целевых мероприятий в соответствии с комплексным план</w:t>
      </w:r>
      <w:r w:rsidR="003440DA">
        <w:rPr>
          <w:sz w:val="22"/>
          <w:szCs w:val="22"/>
        </w:rPr>
        <w:t>ом</w:t>
      </w:r>
      <w:r w:rsidRPr="00A913FA">
        <w:rPr>
          <w:sz w:val="22"/>
          <w:szCs w:val="22"/>
        </w:rPr>
        <w:t xml:space="preserve"> «Семья» по предупреждению преступности среди несовершеннолетних, распространению наркомании и пьянства;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>Обеспечение первичных мер пожарной безопасности в границах поселения.</w:t>
      </w: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информации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Задачи:</w:t>
      </w:r>
    </w:p>
    <w:p w:rsidR="005D1C82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- организация планомерной и системной работы с населением села посредством периодического печатного издания «Бюллетень органов местного самоуправления Нижнечеремошинского сельсовета».</w:t>
      </w:r>
    </w:p>
    <w:p w:rsidR="005D1C82" w:rsidRPr="002300E8" w:rsidRDefault="005D1C82" w:rsidP="005D1C8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- организация планомерной и системной работы с населением села посредствам официального Интернет – сайта администрации Нижнечеремошинского сельсовета:</w:t>
      </w:r>
      <w:r w:rsidR="006D007F" w:rsidRPr="006D007F">
        <w:t xml:space="preserve"> </w:t>
      </w:r>
      <w:r w:rsidR="006D007F" w:rsidRPr="006D007F">
        <w:rPr>
          <w:sz w:val="22"/>
          <w:szCs w:val="22"/>
          <w:u w:val="single"/>
        </w:rPr>
        <w:t>https://admncheremoshv.nso.ru</w:t>
      </w:r>
    </w:p>
    <w:p w:rsidR="005D1C82" w:rsidRDefault="005D1C82" w:rsidP="005D1C82">
      <w:pPr>
        <w:ind w:left="360"/>
        <w:jc w:val="both"/>
        <w:rPr>
          <w:szCs w:val="28"/>
        </w:rPr>
      </w:pPr>
    </w:p>
    <w:p w:rsidR="005D1C82" w:rsidRPr="00A913FA" w:rsidRDefault="005D1C82" w:rsidP="005D1C82">
      <w:pPr>
        <w:pStyle w:val="a7"/>
        <w:ind w:firstLine="0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муниципальных финансов:</w:t>
      </w: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Цели: 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>1. Обеспечение роста собственных доходов бюджета поселения.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 xml:space="preserve">2. Повышение эффективности расходования бюджетных средств. 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Создание условий для повышения налогового потенциала территории.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5. Совершенствование среднесрочного планирования.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управления и использования муниципального имущества и земель: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>Цель</w:t>
      </w:r>
      <w:r w:rsidRPr="00A913FA">
        <w:rPr>
          <w:sz w:val="22"/>
          <w:szCs w:val="22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5D1C82" w:rsidRPr="00A913FA" w:rsidRDefault="005D1C82" w:rsidP="005D1C82">
      <w:pPr>
        <w:pStyle w:val="a7"/>
        <w:tabs>
          <w:tab w:val="left" w:pos="5850"/>
        </w:tabs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  <w:r w:rsidRPr="00A913FA">
        <w:rPr>
          <w:i/>
          <w:sz w:val="22"/>
          <w:szCs w:val="22"/>
        </w:rPr>
        <w:tab/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1. Проведение работы по </w:t>
      </w:r>
      <w:proofErr w:type="gramStart"/>
      <w:r w:rsidRPr="00A913FA">
        <w:rPr>
          <w:sz w:val="22"/>
          <w:szCs w:val="22"/>
        </w:rPr>
        <w:t>контролю за</w:t>
      </w:r>
      <w:proofErr w:type="gramEnd"/>
      <w:r w:rsidRPr="00A913FA">
        <w:rPr>
          <w:sz w:val="22"/>
          <w:szCs w:val="22"/>
        </w:rPr>
        <w:t xml:space="preserve"> изменением собственников жилья, выявление потенциальных бесхозяйных объектов. </w:t>
      </w:r>
    </w:p>
    <w:p w:rsidR="005D1C82" w:rsidRPr="00A913FA" w:rsidRDefault="005D1C82" w:rsidP="005D1C82">
      <w:pPr>
        <w:pStyle w:val="a7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5D1C82" w:rsidRDefault="005D1C82" w:rsidP="005D1C82">
      <w:pPr>
        <w:ind w:firstLine="720"/>
        <w:jc w:val="both"/>
        <w:rPr>
          <w:b/>
          <w:sz w:val="22"/>
          <w:szCs w:val="22"/>
        </w:rPr>
      </w:pPr>
    </w:p>
    <w:p w:rsidR="005D1C82" w:rsidRPr="00A913FA" w:rsidRDefault="005D1C82" w:rsidP="005D1C82">
      <w:pPr>
        <w:ind w:firstLine="720"/>
        <w:jc w:val="both"/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lastRenderedPageBreak/>
        <w:t xml:space="preserve"> В сельском хозяйстве</w:t>
      </w: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Цели: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>- совершенствование системы закупок по личным подсобным хозяйствам.</w:t>
      </w:r>
    </w:p>
    <w:p w:rsidR="005D1C82" w:rsidRPr="00A913FA" w:rsidRDefault="005D1C82" w:rsidP="005D1C82">
      <w:pPr>
        <w:ind w:firstLine="720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ind w:firstLine="720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малом предпринимательстве</w:t>
      </w:r>
    </w:p>
    <w:p w:rsidR="005D1C82" w:rsidRPr="00A913FA" w:rsidRDefault="005D1C82" w:rsidP="005D1C82">
      <w:pPr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ab/>
        <w:t>Цель: С</w:t>
      </w:r>
      <w:r w:rsidRPr="00A913FA">
        <w:rPr>
          <w:sz w:val="22"/>
          <w:szCs w:val="22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5D1C82" w:rsidRPr="00A913FA" w:rsidRDefault="005D1C82" w:rsidP="005D1C82">
      <w:pPr>
        <w:tabs>
          <w:tab w:val="left" w:pos="-3600"/>
          <w:tab w:val="left" w:pos="0"/>
        </w:tabs>
        <w:ind w:firstLine="720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Оказание поддержки развитию субъектов малого предпринимательства;</w:t>
      </w:r>
    </w:p>
    <w:p w:rsidR="005D1C82" w:rsidRPr="00A913FA" w:rsidRDefault="005D1C82" w:rsidP="005D1C82">
      <w:pPr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Оказание содействия развитию системы кредитования малого бизнеса;</w:t>
      </w:r>
    </w:p>
    <w:p w:rsidR="005D1C82" w:rsidRPr="00A913FA" w:rsidRDefault="005D1C82" w:rsidP="005D1C82">
      <w:pPr>
        <w:pStyle w:val="31"/>
        <w:numPr>
          <w:ilvl w:val="0"/>
          <w:numId w:val="4"/>
        </w:numPr>
        <w:rPr>
          <w:sz w:val="22"/>
          <w:szCs w:val="22"/>
        </w:rPr>
      </w:pPr>
      <w:r w:rsidRPr="00A913FA">
        <w:rPr>
          <w:sz w:val="22"/>
          <w:szCs w:val="22"/>
        </w:rPr>
        <w:t>Продвижение продукции малых предприятий на новые рынки, путем участия их в выставках и ярмарках, «Днях предпринимателя»;</w:t>
      </w:r>
    </w:p>
    <w:p w:rsidR="005D1C82" w:rsidRPr="00A913FA" w:rsidRDefault="005D1C82" w:rsidP="005D1C82">
      <w:pPr>
        <w:pStyle w:val="21"/>
        <w:tabs>
          <w:tab w:val="left" w:pos="360"/>
        </w:tabs>
        <w:rPr>
          <w:b/>
          <w:i/>
          <w:iCs/>
          <w:sz w:val="22"/>
          <w:szCs w:val="22"/>
        </w:rPr>
      </w:pPr>
    </w:p>
    <w:p w:rsidR="005D1C82" w:rsidRPr="00A913FA" w:rsidRDefault="005D1C82" w:rsidP="005D1C82">
      <w:pPr>
        <w:pStyle w:val="21"/>
        <w:tabs>
          <w:tab w:val="left" w:pos="360"/>
        </w:tabs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t xml:space="preserve">В области ЖКХ </w:t>
      </w:r>
    </w:p>
    <w:p w:rsidR="005D1C82" w:rsidRPr="00A913FA" w:rsidRDefault="005D1C82" w:rsidP="005D1C82">
      <w:pPr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Цели: </w:t>
      </w:r>
      <w:r w:rsidRPr="00A913FA">
        <w:rPr>
          <w:sz w:val="22"/>
          <w:szCs w:val="22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Повышение эффективности использования топливно-энергетических ресурсов.</w:t>
      </w:r>
    </w:p>
    <w:p w:rsidR="005D1C82" w:rsidRPr="00A913FA" w:rsidRDefault="005D1C82" w:rsidP="005D1C82">
      <w:pPr>
        <w:tabs>
          <w:tab w:val="left" w:pos="-3600"/>
          <w:tab w:val="left" w:pos="0"/>
        </w:tabs>
        <w:ind w:firstLine="720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Проведение финансового оздоровления жилищно-коммунальных предприятий;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Модернизация и замена отслужившего срок технологического оборудования муниципальной системы теплоснабжения, водоснабжения и водоотведения.</w:t>
      </w: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 xml:space="preserve">В области дорожного хозяйства </w:t>
      </w:r>
    </w:p>
    <w:p w:rsidR="005D1C82" w:rsidRPr="00A913FA" w:rsidRDefault="005D1C82" w:rsidP="005D1C82">
      <w:pPr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Цели: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Повышение доступности транспортных услуг.</w:t>
      </w:r>
    </w:p>
    <w:p w:rsidR="005D1C82" w:rsidRPr="00A913FA" w:rsidRDefault="005D1C82" w:rsidP="005D1C82">
      <w:pPr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tabs>
          <w:tab w:val="left" w:pos="1909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Содержание автомобильных дорог  внутри поселения. Поддержание в рабочем состоянии дорожной сети.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потребительского рынка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 Удовлетворение покупательского спроса населения в качественных товарах и услугах.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  <w:u w:val="single"/>
        </w:rPr>
      </w:pPr>
      <w:r w:rsidRPr="00A913FA">
        <w:rPr>
          <w:i/>
          <w:sz w:val="22"/>
          <w:szCs w:val="22"/>
        </w:rPr>
        <w:t>Задачи</w:t>
      </w:r>
      <w:r w:rsidRPr="00A913FA">
        <w:rPr>
          <w:i/>
          <w:sz w:val="22"/>
          <w:szCs w:val="22"/>
          <w:u w:val="single"/>
        </w:rPr>
        <w:t>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Развитие стационарной торговли за счет открытия новых магазинов, павильонов в селах.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Возрождение бытового обслуживания в селе, улучшение качества предоставляемых услуг.</w:t>
      </w: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благоустройства и озеленения территории, охраны окружающей среды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 Создание комфортных условий проживания жителям Нижнечеремошинского сельсовета Краснозерского района.</w:t>
      </w:r>
    </w:p>
    <w:p w:rsidR="005D1C82" w:rsidRPr="00A913FA" w:rsidRDefault="005D1C82" w:rsidP="005D1C82">
      <w:pPr>
        <w:ind w:firstLine="709"/>
        <w:jc w:val="both"/>
        <w:rPr>
          <w:i/>
          <w:sz w:val="22"/>
          <w:szCs w:val="22"/>
          <w:u w:val="single"/>
        </w:rPr>
      </w:pPr>
      <w:r w:rsidRPr="00A913FA">
        <w:rPr>
          <w:i/>
          <w:sz w:val="22"/>
          <w:szCs w:val="22"/>
        </w:rPr>
        <w:t>Задачи</w:t>
      </w:r>
      <w:r w:rsidRPr="00A913FA">
        <w:rPr>
          <w:i/>
          <w:sz w:val="22"/>
          <w:szCs w:val="22"/>
          <w:u w:val="single"/>
        </w:rPr>
        <w:t>: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Благоустройство и озеленение территории поселения.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Достижение уровня освещённости всей территории поселения.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Содержание мест захоронения.</w:t>
      </w:r>
    </w:p>
    <w:p w:rsidR="005D1C82" w:rsidRPr="00A913FA" w:rsidRDefault="005D1C82" w:rsidP="005D1C82">
      <w:pPr>
        <w:pStyle w:val="a7"/>
        <w:ind w:firstLine="0"/>
        <w:rPr>
          <w:sz w:val="22"/>
          <w:szCs w:val="22"/>
        </w:rPr>
      </w:pPr>
      <w:r w:rsidRPr="00A913FA">
        <w:rPr>
          <w:sz w:val="22"/>
          <w:szCs w:val="22"/>
        </w:rPr>
        <w:t xml:space="preserve">            4. Устранение несанкционированных свалок.</w:t>
      </w:r>
    </w:p>
    <w:p w:rsidR="005D1C82" w:rsidRPr="00A913FA" w:rsidRDefault="005D1C82" w:rsidP="005D1C82">
      <w:pPr>
        <w:tabs>
          <w:tab w:val="left" w:pos="1800"/>
        </w:tabs>
        <w:jc w:val="both"/>
        <w:rPr>
          <w:sz w:val="22"/>
          <w:szCs w:val="22"/>
        </w:rPr>
      </w:pPr>
    </w:p>
    <w:p w:rsidR="005D1C82" w:rsidRPr="00A913FA" w:rsidRDefault="005D1C82" w:rsidP="005D1C82">
      <w:pPr>
        <w:tabs>
          <w:tab w:val="left" w:pos="1482"/>
        </w:tabs>
        <w:jc w:val="both"/>
        <w:rPr>
          <w:b/>
          <w:bCs/>
          <w:i/>
          <w:sz w:val="22"/>
          <w:szCs w:val="22"/>
        </w:rPr>
      </w:pPr>
      <w:r w:rsidRPr="00A913FA">
        <w:rPr>
          <w:b/>
          <w:bCs/>
          <w:i/>
          <w:sz w:val="22"/>
          <w:szCs w:val="22"/>
        </w:rPr>
        <w:t xml:space="preserve">         Развитие местного самоуправления</w:t>
      </w:r>
    </w:p>
    <w:p w:rsidR="005D1C82" w:rsidRPr="00A913FA" w:rsidRDefault="005D1C82" w:rsidP="005D1C82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i/>
          <w:sz w:val="22"/>
          <w:szCs w:val="22"/>
        </w:rPr>
        <w:t xml:space="preserve">     Цель</w:t>
      </w:r>
      <w:r w:rsidRPr="00A913FA">
        <w:rPr>
          <w:bCs/>
          <w:sz w:val="22"/>
          <w:szCs w:val="22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5D1C82" w:rsidRPr="00A913FA" w:rsidRDefault="005D1C82" w:rsidP="005D1C82">
      <w:pPr>
        <w:tabs>
          <w:tab w:val="left" w:pos="1482"/>
        </w:tabs>
        <w:rPr>
          <w:bCs/>
          <w:sz w:val="22"/>
          <w:szCs w:val="22"/>
        </w:rPr>
      </w:pPr>
      <w:r w:rsidRPr="00A913FA">
        <w:rPr>
          <w:bCs/>
          <w:i/>
          <w:sz w:val="22"/>
          <w:szCs w:val="22"/>
        </w:rPr>
        <w:lastRenderedPageBreak/>
        <w:t xml:space="preserve">        Задачи</w:t>
      </w:r>
      <w:r w:rsidRPr="00A913FA">
        <w:rPr>
          <w:bCs/>
          <w:sz w:val="22"/>
          <w:szCs w:val="22"/>
        </w:rPr>
        <w:t>:</w:t>
      </w:r>
    </w:p>
    <w:p w:rsidR="005D1C82" w:rsidRPr="00A913FA" w:rsidRDefault="005D1C82" w:rsidP="005D1C82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sz w:val="22"/>
          <w:szCs w:val="22"/>
        </w:rPr>
        <w:t xml:space="preserve">    - совершенствование нормативно – правового обеспечения;</w:t>
      </w:r>
    </w:p>
    <w:p w:rsidR="005D1C82" w:rsidRPr="00A913FA" w:rsidRDefault="005D1C82" w:rsidP="005D1C82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sz w:val="22"/>
          <w:szCs w:val="22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5D1C82" w:rsidRPr="00A913FA" w:rsidRDefault="005D1C82" w:rsidP="005D1C82">
      <w:pPr>
        <w:tabs>
          <w:tab w:val="left" w:pos="1800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Достижение целей социально-экономического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программных мероприятий (приложение 1).</w:t>
      </w:r>
    </w:p>
    <w:p w:rsidR="005D1C82" w:rsidRPr="00A913FA" w:rsidRDefault="005D1C82" w:rsidP="005D1C82">
      <w:pPr>
        <w:pStyle w:val="a7"/>
        <w:ind w:firstLine="0"/>
        <w:jc w:val="center"/>
        <w:rPr>
          <w:b/>
          <w:sz w:val="22"/>
          <w:szCs w:val="22"/>
        </w:rPr>
      </w:pPr>
    </w:p>
    <w:p w:rsidR="005D1C82" w:rsidRPr="00A913FA" w:rsidRDefault="005D1C82" w:rsidP="005D1C82">
      <w:pPr>
        <w:numPr>
          <w:ilvl w:val="0"/>
          <w:numId w:val="2"/>
        </w:numPr>
        <w:tabs>
          <w:tab w:val="left" w:pos="1800"/>
        </w:tabs>
        <w:jc w:val="both"/>
        <w:rPr>
          <w:b/>
          <w:sz w:val="22"/>
          <w:szCs w:val="22"/>
        </w:rPr>
      </w:pPr>
      <w:r w:rsidRPr="00A913FA">
        <w:rPr>
          <w:b/>
          <w:bCs/>
          <w:sz w:val="22"/>
          <w:szCs w:val="22"/>
        </w:rPr>
        <w:t xml:space="preserve"> Инвестиции в социально-экономическом развитии муниципального образования</w:t>
      </w:r>
      <w:r w:rsidRPr="00A913FA">
        <w:rPr>
          <w:b/>
          <w:sz w:val="22"/>
          <w:szCs w:val="22"/>
        </w:rPr>
        <w:t xml:space="preserve"> </w:t>
      </w:r>
    </w:p>
    <w:p w:rsidR="005D1C82" w:rsidRPr="00A913FA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  <w:r w:rsidRPr="00A913FA">
        <w:rPr>
          <w:b/>
          <w:sz w:val="22"/>
          <w:szCs w:val="22"/>
        </w:rPr>
        <w:t xml:space="preserve">       </w:t>
      </w:r>
      <w:r w:rsidRPr="00A913FA">
        <w:rPr>
          <w:sz w:val="22"/>
          <w:szCs w:val="22"/>
        </w:rPr>
        <w:t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При этом</w:t>
      </w:r>
      <w:proofErr w:type="gramStart"/>
      <w:r w:rsidRPr="00A913FA">
        <w:rPr>
          <w:sz w:val="22"/>
          <w:szCs w:val="22"/>
        </w:rPr>
        <w:t>,</w:t>
      </w:r>
      <w:proofErr w:type="gramEnd"/>
      <w:r w:rsidRPr="00A913FA">
        <w:rPr>
          <w:sz w:val="22"/>
          <w:szCs w:val="22"/>
        </w:rPr>
        <w:t xml:space="preserve"> анализ возможности самофинансирования инвестиционной деятельности предприятий поселения показал, что собственный инвестиционный потенциал, при условии полной мобилизации, недостаточен даже для поддержания производственных мощностей. Для восстановления и развития производственного потенциала необходимо привлечение внешних ресурсов и их следует направлять на восстановление и укрепление агропромышленного комплекса, составляющего основу стабилизации и экономического роста экономики, а также на осуществление мер по развитию социальной и инженерно-транспортной инфраструктуры.</w:t>
      </w:r>
    </w:p>
    <w:p w:rsidR="005D1C82" w:rsidRPr="00A913FA" w:rsidRDefault="005D1C82" w:rsidP="005D1C82">
      <w:pPr>
        <w:tabs>
          <w:tab w:val="left" w:pos="1800"/>
        </w:tabs>
        <w:jc w:val="both"/>
        <w:rPr>
          <w:sz w:val="22"/>
          <w:szCs w:val="22"/>
        </w:rPr>
      </w:pPr>
      <w:r w:rsidRPr="00A913FA">
        <w:rPr>
          <w:b/>
          <w:sz w:val="22"/>
          <w:szCs w:val="22"/>
        </w:rPr>
        <w:t xml:space="preserve">     </w:t>
      </w:r>
      <w:r w:rsidRPr="00A913FA">
        <w:rPr>
          <w:sz w:val="22"/>
          <w:szCs w:val="22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планами социально-экономического развития области, областными  и муниципальными целевыми программами (если есть) с ежегодным уточнением объемов финансирования исходя из реальных возможностей бюджетов. Основным источником сре</w:t>
      </w:r>
      <w:proofErr w:type="gramStart"/>
      <w:r w:rsidRPr="00A913FA">
        <w:rPr>
          <w:sz w:val="22"/>
          <w:szCs w:val="22"/>
        </w:rPr>
        <w:t>дств дл</w:t>
      </w:r>
      <w:proofErr w:type="gramEnd"/>
      <w:r w:rsidRPr="00A913FA">
        <w:rPr>
          <w:sz w:val="22"/>
          <w:szCs w:val="22"/>
        </w:rPr>
        <w:t>я осуществления инвестиционных проектов станут собственные и заемные средства предприятий и организаций.</w:t>
      </w: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    </w:t>
      </w: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6804"/>
          <w:tab w:val="left" w:pos="7938"/>
        </w:tabs>
        <w:jc w:val="center"/>
        <w:rPr>
          <w:b/>
          <w:sz w:val="20"/>
          <w:szCs w:val="20"/>
        </w:rPr>
        <w:sectPr w:rsidR="005D1C82" w:rsidSect="00437CE1">
          <w:headerReference w:type="default" r:id="rId7"/>
          <w:footerReference w:type="default" r:id="rId8"/>
          <w:pgSz w:w="11905" w:h="16837"/>
          <w:pgMar w:top="142" w:right="567" w:bottom="142" w:left="1134" w:header="680" w:footer="680" w:gutter="0"/>
          <w:cols w:space="720"/>
          <w:docGrid w:linePitch="360"/>
        </w:sectPr>
      </w:pPr>
    </w:p>
    <w:p w:rsidR="00E91875" w:rsidRDefault="005D1C82" w:rsidP="00E91875">
      <w:pPr>
        <w:tabs>
          <w:tab w:val="left" w:pos="6804"/>
          <w:tab w:val="left" w:pos="79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 </w:t>
      </w:r>
      <w:r w:rsidR="00E91875">
        <w:rPr>
          <w:b/>
          <w:sz w:val="20"/>
          <w:szCs w:val="20"/>
        </w:rPr>
        <w:t>Основные мероприятия реализации среднесрочного плана социально-экономического развития муниципального образования  Нижнечеремошинского  сельсовета на 20</w:t>
      </w:r>
      <w:r w:rsidR="002A421F">
        <w:rPr>
          <w:b/>
          <w:sz w:val="20"/>
          <w:szCs w:val="20"/>
        </w:rPr>
        <w:t>2</w:t>
      </w:r>
      <w:r w:rsidR="00264B08">
        <w:rPr>
          <w:b/>
          <w:sz w:val="20"/>
          <w:szCs w:val="20"/>
        </w:rPr>
        <w:t>1</w:t>
      </w:r>
      <w:r w:rsidR="00E91875">
        <w:rPr>
          <w:b/>
          <w:sz w:val="20"/>
          <w:szCs w:val="20"/>
        </w:rPr>
        <w:t>-20</w:t>
      </w:r>
      <w:r w:rsidR="002A421F">
        <w:rPr>
          <w:b/>
          <w:sz w:val="20"/>
          <w:szCs w:val="20"/>
        </w:rPr>
        <w:t>2</w:t>
      </w:r>
      <w:r w:rsidR="00264B08">
        <w:rPr>
          <w:b/>
          <w:sz w:val="20"/>
          <w:szCs w:val="20"/>
        </w:rPr>
        <w:t>3</w:t>
      </w:r>
      <w:r w:rsidR="00E91875">
        <w:rPr>
          <w:b/>
          <w:sz w:val="20"/>
          <w:szCs w:val="20"/>
        </w:rPr>
        <w:t xml:space="preserve"> годы</w:t>
      </w:r>
    </w:p>
    <w:tbl>
      <w:tblPr>
        <w:tblW w:w="0" w:type="auto"/>
        <w:tblInd w:w="250" w:type="dxa"/>
        <w:tblLayout w:type="fixed"/>
        <w:tblLook w:val="0000"/>
      </w:tblPr>
      <w:tblGrid>
        <w:gridCol w:w="2180"/>
        <w:gridCol w:w="4428"/>
        <w:gridCol w:w="990"/>
        <w:gridCol w:w="990"/>
        <w:gridCol w:w="990"/>
        <w:gridCol w:w="990"/>
        <w:gridCol w:w="990"/>
        <w:gridCol w:w="990"/>
        <w:gridCol w:w="992"/>
        <w:gridCol w:w="1911"/>
      </w:tblGrid>
      <w:tr w:rsidR="00E91875" w:rsidTr="003440DA">
        <w:trPr>
          <w:trHeight w:val="659"/>
          <w:tblHeader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задачи</w:t>
            </w:r>
          </w:p>
          <w:p w:rsidR="00E91875" w:rsidRDefault="00E91875" w:rsidP="00F5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ind w:left="-2663" w:firstLine="2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pStyle w:val="a7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срок исполнения</w:t>
            </w:r>
          </w:p>
        </w:tc>
        <w:tc>
          <w:tcPr>
            <w:tcW w:w="5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pStyle w:val="a7"/>
              <w:snapToGrid w:val="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Ответственные исполнители</w:t>
            </w:r>
          </w:p>
        </w:tc>
      </w:tr>
      <w:tr w:rsidR="00E91875" w:rsidTr="003440DA">
        <w:trPr>
          <w:trHeight w:val="333"/>
          <w:tblHeader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E91875" w:rsidTr="003440DA">
        <w:trPr>
          <w:trHeight w:val="332"/>
          <w:tblHeader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(собственные средства предприятий, кредитные ресурсы банков и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E91875" w:rsidTr="003440DA">
        <w:trPr>
          <w:trHeight w:val="167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«Сельское хозяйство»</w:t>
            </w:r>
          </w:p>
        </w:tc>
      </w:tr>
      <w:tr w:rsidR="00E91875" w:rsidTr="003440DA">
        <w:trPr>
          <w:trHeight w:val="1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техники сельскохозяйственными предприятиями 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6D007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40DA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1</w:t>
            </w:r>
          </w:p>
          <w:p w:rsidR="00E91875" w:rsidRDefault="003440DA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94CD1">
              <w:rPr>
                <w:sz w:val="20"/>
                <w:szCs w:val="20"/>
              </w:rPr>
              <w:t>2</w:t>
            </w:r>
          </w:p>
          <w:p w:rsidR="00E91875" w:rsidRDefault="00E91875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B36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2091F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2091F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ЗАО «</w:t>
            </w:r>
            <w:proofErr w:type="spellStart"/>
            <w:r>
              <w:rPr>
                <w:sz w:val="20"/>
                <w:szCs w:val="20"/>
              </w:rPr>
              <w:t>Черемошинское</w:t>
            </w:r>
            <w:proofErr w:type="spellEnd"/>
            <w:r w:rsidR="003440DA">
              <w:rPr>
                <w:sz w:val="20"/>
                <w:szCs w:val="20"/>
              </w:rPr>
              <w:t>»,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Березняк Н.Д.</w:t>
            </w:r>
          </w:p>
        </w:tc>
      </w:tr>
      <w:tr w:rsidR="00E91875" w:rsidTr="003440DA">
        <w:trPr>
          <w:trHeight w:val="145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Совершенствование развития транспортной системы и связи</w:t>
            </w:r>
          </w:p>
        </w:tc>
      </w:tr>
      <w:tr w:rsidR="00E91875" w:rsidTr="003440DA">
        <w:trPr>
          <w:trHeight w:val="145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автомобильных дорог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40DA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3440D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D007F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3440D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B36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3440DA">
        <w:trPr>
          <w:trHeight w:val="145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Природопользование, охрана окружающей среды</w:t>
            </w:r>
          </w:p>
        </w:tc>
      </w:tr>
      <w:tr w:rsidR="00E91875" w:rsidTr="003440DA">
        <w:trPr>
          <w:trHeight w:val="30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санитарной безопасности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благоустройству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40DA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A2091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3440D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D007F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9187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3440D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D007F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3440DA">
        <w:trPr>
          <w:trHeight w:val="14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Муниципальных земель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муниципальных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6D007F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40DA">
              <w:rPr>
                <w:sz w:val="20"/>
                <w:szCs w:val="20"/>
              </w:rPr>
              <w:t>2</w:t>
            </w:r>
            <w:r w:rsidR="00D94CD1">
              <w:rPr>
                <w:sz w:val="20"/>
                <w:szCs w:val="20"/>
              </w:rPr>
              <w:t>1</w:t>
            </w:r>
          </w:p>
          <w:p w:rsidR="003440DA" w:rsidRDefault="00D94CD1" w:rsidP="003440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801B36" w:rsidP="003440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94CD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Pr="004D466B" w:rsidRDefault="00E91875" w:rsidP="00F53253">
            <w:pPr>
              <w:snapToGrid w:val="0"/>
              <w:jc w:val="both"/>
              <w:rPr>
                <w:sz w:val="16"/>
                <w:szCs w:val="16"/>
              </w:rPr>
            </w:pPr>
            <w:r w:rsidRPr="004D466B">
              <w:rPr>
                <w:sz w:val="16"/>
                <w:szCs w:val="16"/>
              </w:rPr>
              <w:t>Администрация Нижнечеремошинского сельсовета</w:t>
            </w:r>
          </w:p>
        </w:tc>
      </w:tr>
      <w:tr w:rsidR="00E91875" w:rsidTr="003440DA">
        <w:trPr>
          <w:trHeight w:val="70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Труд и занятость</w:t>
            </w:r>
          </w:p>
        </w:tc>
      </w:tr>
      <w:tr w:rsidR="00E91875" w:rsidTr="003440DA">
        <w:trPr>
          <w:trHeight w:val="13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 xml:space="preserve"> населения, развитии личных подсобных хозяйств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rPr>
                <w:sz w:val="20"/>
                <w:szCs w:val="20"/>
              </w:rPr>
            </w:pPr>
          </w:p>
          <w:p w:rsidR="00E91875" w:rsidRDefault="00E91875" w:rsidP="00F5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временной занятости несовершеннолетних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F5325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Нижнечеремошинского сельсовета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Нижнечеремошинская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E91875" w:rsidTr="003440DA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Молодёжная политика</w:t>
            </w:r>
          </w:p>
        </w:tc>
      </w:tr>
      <w:tr w:rsidR="00E91875" w:rsidTr="003440DA">
        <w:trPr>
          <w:trHeight w:val="91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социального становления молодежи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</w:t>
            </w:r>
            <w:proofErr w:type="spellStart"/>
            <w:r>
              <w:rPr>
                <w:sz w:val="20"/>
                <w:szCs w:val="20"/>
              </w:rPr>
              <w:t>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деятельности.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E91875" w:rsidTr="003440DA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</w:tr>
      <w:tr w:rsidR="00E91875" w:rsidTr="003440DA">
        <w:trPr>
          <w:trHeight w:val="14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спортивно-массовых мероприятий, (традиционных волейбольных турниров, поездки на районные спортивные мероприятиям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приобретение спортивного инвентаря, проведение Дня физкультурника)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F532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E91875" w:rsidTr="003440DA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</w:tr>
      <w:tr w:rsidR="00E91875" w:rsidTr="003440DA">
        <w:trPr>
          <w:trHeight w:val="8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E91875" w:rsidRDefault="00E91875" w:rsidP="00F53253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Проведение  культурно-массовых мероприятий, конкурсов, смотров самодеятельного народного творчества (проводы зимы</w:t>
            </w:r>
            <w:proofErr w:type="gramEnd"/>
          </w:p>
          <w:p w:rsidR="00E91875" w:rsidRDefault="00E91875" w:rsidP="00F5325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-День Победы, День села,  День пожилых людей, День матери)</w:t>
            </w:r>
            <w:proofErr w:type="gramEnd"/>
          </w:p>
          <w:p w:rsidR="00E91875" w:rsidRDefault="00E91875" w:rsidP="00F53253">
            <w:pPr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E91875" w:rsidTr="003440DA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условий жизни населения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091F"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A2091F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Нижнечеремошинского сельсовета</w:t>
            </w:r>
          </w:p>
        </w:tc>
      </w:tr>
      <w:tr w:rsidR="00E91875" w:rsidTr="003440DA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  <w:p w:rsidR="00E91875" w:rsidRDefault="00E91875" w:rsidP="00F53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Безопасность жизни населения</w:t>
            </w:r>
          </w:p>
        </w:tc>
      </w:tr>
      <w:tr w:rsidR="00E91875" w:rsidTr="003440DA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безопасного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поселения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</w:t>
            </w:r>
          </w:p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741,95</w:t>
            </w:r>
          </w:p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1E6" w:rsidRDefault="004421E6" w:rsidP="004421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</w:t>
            </w:r>
          </w:p>
          <w:p w:rsidR="004421E6" w:rsidRDefault="004421E6" w:rsidP="004421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741,95</w:t>
            </w:r>
          </w:p>
          <w:p w:rsidR="00E91875" w:rsidRDefault="004421E6" w:rsidP="004421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Нижнечеремошинского сельсовета</w:t>
            </w:r>
          </w:p>
        </w:tc>
      </w:tr>
      <w:tr w:rsidR="00E91875" w:rsidTr="003440DA">
        <w:trPr>
          <w:trHeight w:val="302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bCs/>
                <w:sz w:val="20"/>
                <w:szCs w:val="20"/>
              </w:rPr>
              <w:lastRenderedPageBreak/>
              <w:t>деятельность</w:t>
            </w:r>
          </w:p>
          <w:p w:rsidR="00E91875" w:rsidRDefault="00E91875" w:rsidP="00F53253">
            <w:pPr>
              <w:jc w:val="both"/>
              <w:rPr>
                <w:bCs/>
                <w:sz w:val="20"/>
                <w:szCs w:val="20"/>
              </w:rPr>
            </w:pP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Мероприятия по предупреждению и ликвидаций последствий чрезвычайных ситуаций и стихийных бедствий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профилактике терроризма и экстремизма, а также минимизация ликвидаций последствий проявления терроризма и экстремизма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D1" w:rsidRDefault="00D94CD1" w:rsidP="00D94C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D94CD1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1875" w:rsidRDefault="00D94CD1" w:rsidP="00D9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4421E6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F5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3440DA">
        <w:trPr>
          <w:trHeight w:val="920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F53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F5325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91875" w:rsidRDefault="00E91875" w:rsidP="00E91875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E91875">
      <w:pPr>
        <w:tabs>
          <w:tab w:val="left" w:pos="6804"/>
          <w:tab w:val="left" w:pos="7938"/>
        </w:tabs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0"/>
        <w:rPr>
          <w:b/>
          <w:bCs/>
          <w:sz w:val="20"/>
        </w:rPr>
      </w:pPr>
    </w:p>
    <w:p w:rsidR="005D1C82" w:rsidRDefault="005D1C82" w:rsidP="005D1C82">
      <w:pPr>
        <w:pStyle w:val="a7"/>
        <w:ind w:firstLine="0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32"/>
        <w:ind w:firstLine="0"/>
        <w:rPr>
          <w:b/>
          <w:i/>
          <w:sz w:val="20"/>
        </w:rPr>
        <w:sectPr w:rsidR="005D1C82" w:rsidSect="00437CE1">
          <w:pgSz w:w="16837" w:h="11905" w:orient="landscape"/>
          <w:pgMar w:top="567" w:right="408" w:bottom="426" w:left="238" w:header="680" w:footer="680" w:gutter="0"/>
          <w:cols w:space="720"/>
          <w:docGrid w:linePitch="360"/>
        </w:sectPr>
      </w:pPr>
    </w:p>
    <w:p w:rsidR="001A615C" w:rsidRDefault="001A615C" w:rsidP="001A615C">
      <w:pPr>
        <w:pStyle w:val="6"/>
        <w:rPr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социально-экономического развития на 2021-2023 годы</w:t>
      </w:r>
    </w:p>
    <w:p w:rsidR="001A615C" w:rsidRPr="00D70F1B" w:rsidRDefault="001A615C" w:rsidP="001A615C">
      <w:pPr>
        <w:pStyle w:val="LO-Normal"/>
        <w:jc w:val="center"/>
        <w:rPr>
          <w:b/>
          <w:sz w:val="24"/>
          <w:szCs w:val="24"/>
          <w:u w:val="single"/>
        </w:rPr>
      </w:pPr>
      <w:r>
        <w:rPr>
          <w:b/>
          <w:sz w:val="26"/>
          <w:u w:val="single"/>
        </w:rPr>
        <w:t xml:space="preserve">Нижнечеремошинского сельсовета Краснозерского района Новосибирской области </w:t>
      </w:r>
    </w:p>
    <w:p w:rsidR="001A615C" w:rsidRDefault="001A615C" w:rsidP="001A615C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1A615C" w:rsidRDefault="001A615C" w:rsidP="001A615C">
      <w:pPr>
        <w:pStyle w:val="LO-Normal"/>
        <w:jc w:val="center"/>
        <w:rPr>
          <w:sz w:val="2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1A615C" w:rsidTr="004421E6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1A615C" w:rsidRDefault="001A615C" w:rsidP="004421E6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center"/>
            </w:pPr>
            <w:r>
              <w:rPr>
                <w:sz w:val="24"/>
              </w:rPr>
              <w:t>2023г.</w:t>
            </w:r>
          </w:p>
        </w:tc>
      </w:tr>
      <w:tr w:rsidR="001A615C" w:rsidTr="004421E6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1610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FA3E1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FA3E1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FA3E1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  <w:r w:rsidR="00FA3E11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FA3E1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FA3E11"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FA3E1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FA3E11"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FA3E1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FA3E1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FA3E1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FA3E11"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FA3E11"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2603A5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FA3E11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1A615C" w:rsidTr="004421E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1A615C" w:rsidTr="004421E6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</w:tr>
      <w:tr w:rsidR="001A615C" w:rsidTr="004421E6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26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A615C" w:rsidTr="004421E6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5E211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</w:t>
            </w:r>
            <w:r w:rsidR="005E211F">
              <w:rPr>
                <w:sz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5E211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</w:t>
            </w:r>
            <w:r w:rsidR="005E211F">
              <w:rPr>
                <w:sz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5E211F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5E211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</w:t>
            </w:r>
            <w:r w:rsidR="005E211F">
              <w:rPr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5E211F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5E211F"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AD2812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AD2812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</w:tr>
      <w:tr w:rsidR="001A615C" w:rsidTr="004421E6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 xml:space="preserve">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80FCB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</w:tr>
      <w:tr w:rsidR="001A615C" w:rsidTr="004421E6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F40E8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615C" w:rsidTr="004421E6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9F40E8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</w:tr>
      <w:tr w:rsidR="001A615C" w:rsidTr="004421E6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</w:tc>
      </w:tr>
      <w:tr w:rsidR="001A615C" w:rsidTr="004421E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E80FCB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</w:t>
            </w:r>
            <w:r w:rsidR="00E80FCB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80FCB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80FCB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BE32A0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  <w:r w:rsidR="00EB5E50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BE32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B5E5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F2C12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F2C12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F2C12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EF2C12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18279,56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18369,17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18369,17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18369,17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18369,17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</w:p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1A615C" w:rsidP="004421E6">
            <w:pPr>
              <w:pStyle w:val="LO-Normal"/>
              <w:snapToGrid w:val="0"/>
              <w:rPr>
                <w:sz w:val="24"/>
              </w:rPr>
            </w:pPr>
            <w:r w:rsidRPr="00C72D67">
              <w:rPr>
                <w:sz w:val="24"/>
              </w:rPr>
              <w:t>1344,2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1A615C" w:rsidP="004421E6">
            <w:pPr>
              <w:pStyle w:val="LO-Normal"/>
              <w:snapToGrid w:val="0"/>
              <w:rPr>
                <w:sz w:val="24"/>
              </w:rPr>
            </w:pPr>
            <w:r w:rsidRPr="00C72D67">
              <w:rPr>
                <w:sz w:val="24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504C66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504C66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7A1D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1573,76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7A1D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7A1D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1644,67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1A615C" w:rsidP="007A1DA0">
            <w:pPr>
              <w:pStyle w:val="LO-Normal"/>
              <w:snapToGrid w:val="0"/>
              <w:rPr>
                <w:sz w:val="24"/>
              </w:rPr>
            </w:pPr>
            <w:r w:rsidRPr="00C72D67">
              <w:rPr>
                <w:sz w:val="24"/>
              </w:rPr>
              <w:t>1</w:t>
            </w:r>
            <w:r w:rsidR="007A1DA0">
              <w:rPr>
                <w:sz w:val="24"/>
              </w:rPr>
              <w:t>04,5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Pr="00C72D67" w:rsidRDefault="007A1D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1693,37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Pr="00C72D67" w:rsidRDefault="007A1DA0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</w:tr>
      <w:tr w:rsidR="001A615C" w:rsidTr="004421E6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5C" w:rsidRDefault="001A615C" w:rsidP="004421E6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A615C" w:rsidRDefault="001A615C" w:rsidP="001A615C">
      <w:pPr>
        <w:ind w:firstLine="708"/>
        <w:jc w:val="both"/>
      </w:pPr>
    </w:p>
    <w:p w:rsidR="005D1C82" w:rsidRPr="00A913FA" w:rsidRDefault="005D1C82" w:rsidP="005D1C82">
      <w:pPr>
        <w:rPr>
          <w:sz w:val="20"/>
          <w:szCs w:val="20"/>
        </w:rPr>
        <w:sectPr w:rsidR="005D1C82" w:rsidRPr="00A913FA" w:rsidSect="00437C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736" w:right="567" w:bottom="284" w:left="567" w:header="680" w:footer="1134" w:gutter="0"/>
          <w:cols w:space="720"/>
          <w:docGrid w:linePitch="360"/>
        </w:sectPr>
      </w:pPr>
    </w:p>
    <w:p w:rsidR="005D1C82" w:rsidRPr="008B6C9F" w:rsidRDefault="005D1C82" w:rsidP="005D1C82">
      <w:pPr>
        <w:jc w:val="both"/>
        <w:rPr>
          <w:b/>
        </w:rPr>
      </w:pPr>
      <w:r w:rsidRPr="008B6C9F">
        <w:rPr>
          <w:b/>
        </w:rPr>
        <w:lastRenderedPageBreak/>
        <w:t xml:space="preserve">5. Мониторинг </w:t>
      </w:r>
      <w:proofErr w:type="gramStart"/>
      <w:r w:rsidRPr="008B6C9F">
        <w:rPr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</w:p>
    <w:p w:rsidR="005D1C82" w:rsidRPr="008B6C9F" w:rsidRDefault="005D1C82" w:rsidP="005D1C82">
      <w:pPr>
        <w:pStyle w:val="31"/>
        <w:rPr>
          <w:szCs w:val="24"/>
        </w:rPr>
      </w:pPr>
      <w:r w:rsidRPr="008B6C9F">
        <w:rPr>
          <w:szCs w:val="24"/>
        </w:rPr>
        <w:t>План социально-экономического развития Нижнечеремошинского сельсовета на 20</w:t>
      </w:r>
      <w:r w:rsidR="001E7E68">
        <w:rPr>
          <w:szCs w:val="24"/>
        </w:rPr>
        <w:t>2</w:t>
      </w:r>
      <w:r w:rsidR="001A615C">
        <w:rPr>
          <w:szCs w:val="24"/>
        </w:rPr>
        <w:t>1</w:t>
      </w:r>
      <w:r w:rsidRPr="008B6C9F">
        <w:rPr>
          <w:szCs w:val="24"/>
        </w:rPr>
        <w:t>-20</w:t>
      </w:r>
      <w:r w:rsidR="001E7E68">
        <w:rPr>
          <w:szCs w:val="24"/>
        </w:rPr>
        <w:t>2</w:t>
      </w:r>
      <w:r w:rsidR="001A615C">
        <w:rPr>
          <w:szCs w:val="24"/>
        </w:rPr>
        <w:t>3</w:t>
      </w:r>
      <w:r w:rsidRPr="008B6C9F">
        <w:rPr>
          <w:szCs w:val="24"/>
        </w:rPr>
        <w:t xml:space="preserve"> годы разработан на основе действующего законодательства Российской Федерации и Новосибирской области, правовых актов администрации Новосибирской области, Устава МО Нижнечеремошинского сельсовета и иных муниципальных правовых актов Нижнечеремошинского сельсовета.</w:t>
      </w:r>
    </w:p>
    <w:p w:rsidR="005D1C82" w:rsidRPr="008B6C9F" w:rsidRDefault="005D1C82" w:rsidP="005D1C82">
      <w:pPr>
        <w:pStyle w:val="31"/>
        <w:ind w:firstLine="0"/>
        <w:rPr>
          <w:szCs w:val="24"/>
        </w:rPr>
      </w:pPr>
      <w:r w:rsidRPr="008B6C9F">
        <w:rPr>
          <w:szCs w:val="24"/>
        </w:rPr>
        <w:t xml:space="preserve">     Среднесрочный план социально-экономического развития Нижнечеремошинского сельсовета на 20</w:t>
      </w:r>
      <w:r w:rsidR="001E7E68">
        <w:rPr>
          <w:szCs w:val="24"/>
        </w:rPr>
        <w:t>2</w:t>
      </w:r>
      <w:r w:rsidR="001A615C">
        <w:rPr>
          <w:szCs w:val="24"/>
        </w:rPr>
        <w:t>1</w:t>
      </w:r>
      <w:r w:rsidRPr="008B6C9F">
        <w:rPr>
          <w:szCs w:val="24"/>
        </w:rPr>
        <w:t>-20</w:t>
      </w:r>
      <w:r w:rsidR="00801B36">
        <w:rPr>
          <w:szCs w:val="24"/>
        </w:rPr>
        <w:t>2</w:t>
      </w:r>
      <w:r w:rsidR="00264B08">
        <w:rPr>
          <w:szCs w:val="24"/>
        </w:rPr>
        <w:t>3</w:t>
      </w:r>
      <w:r w:rsidRPr="008B6C9F">
        <w:rPr>
          <w:szCs w:val="24"/>
        </w:rPr>
        <w:t xml:space="preserve"> годы, утверждается решением Совета депутатов Нижнечеремошинского сельсовета. После утверждения План становится </w:t>
      </w:r>
      <w:proofErr w:type="gramStart"/>
      <w:r w:rsidRPr="008B6C9F">
        <w:rPr>
          <w:szCs w:val="24"/>
        </w:rPr>
        <w:t>обязательным к исполнению</w:t>
      </w:r>
      <w:proofErr w:type="gramEnd"/>
      <w:r w:rsidRPr="008B6C9F">
        <w:rPr>
          <w:szCs w:val="24"/>
        </w:rPr>
        <w:t xml:space="preserve"> документом для всех должностных лиц администрации Нижнечеремошинского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плане. Общественность поселения ежегодно информируется о ходе реализации плана. </w:t>
      </w:r>
    </w:p>
    <w:p w:rsidR="005D1C82" w:rsidRPr="008B6C9F" w:rsidRDefault="005D1C82" w:rsidP="005D1C82">
      <w:pPr>
        <w:pStyle w:val="31"/>
        <w:rPr>
          <w:szCs w:val="24"/>
        </w:rPr>
      </w:pPr>
      <w:r w:rsidRPr="008B6C9F">
        <w:rPr>
          <w:szCs w:val="24"/>
        </w:rPr>
        <w:t xml:space="preserve">В процессе реализации Плана возможна корректировка ее параметров с учетом воздействия изменений параметров «внешней среды»: изменение основных </w:t>
      </w:r>
      <w:proofErr w:type="spellStart"/>
      <w:r w:rsidRPr="008B6C9F">
        <w:rPr>
          <w:szCs w:val="24"/>
        </w:rPr>
        <w:t>макропоказателей</w:t>
      </w:r>
      <w:proofErr w:type="spellEnd"/>
      <w:r w:rsidRPr="008B6C9F">
        <w:rPr>
          <w:szCs w:val="24"/>
        </w:rPr>
        <w:t xml:space="preserve"> по сравнению с </w:t>
      </w:r>
      <w:proofErr w:type="gramStart"/>
      <w:r w:rsidRPr="008B6C9F">
        <w:rPr>
          <w:szCs w:val="24"/>
        </w:rPr>
        <w:t>прогнозными</w:t>
      </w:r>
      <w:proofErr w:type="gramEnd"/>
      <w:r w:rsidRPr="008B6C9F">
        <w:rPr>
          <w:szCs w:val="24"/>
        </w:rPr>
        <w:t xml:space="preserve">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5D1C82" w:rsidRPr="008B6C9F" w:rsidRDefault="005D1C82" w:rsidP="005D1C82">
      <w:pPr>
        <w:ind w:firstLine="709"/>
        <w:jc w:val="both"/>
        <w:rPr>
          <w:b/>
        </w:rPr>
      </w:pPr>
    </w:p>
    <w:p w:rsidR="005D1C82" w:rsidRPr="008B6C9F" w:rsidRDefault="005D1C82" w:rsidP="005D1C82">
      <w:pPr>
        <w:pStyle w:val="32"/>
        <w:rPr>
          <w:sz w:val="24"/>
          <w:szCs w:val="24"/>
        </w:rPr>
      </w:pPr>
      <w:r w:rsidRPr="008B6C9F">
        <w:rPr>
          <w:sz w:val="24"/>
          <w:szCs w:val="24"/>
        </w:rPr>
        <w:t xml:space="preserve"> </w:t>
      </w:r>
    </w:p>
    <w:p w:rsidR="005D1C82" w:rsidRPr="008B6C9F" w:rsidRDefault="005D1C82" w:rsidP="005D1C82">
      <w:pPr>
        <w:pStyle w:val="32"/>
        <w:ind w:firstLine="0"/>
        <w:rPr>
          <w:b/>
          <w:sz w:val="24"/>
          <w:szCs w:val="24"/>
        </w:rPr>
      </w:pPr>
    </w:p>
    <w:p w:rsidR="005D1C82" w:rsidRPr="008B6C9F" w:rsidRDefault="005D1C82" w:rsidP="005D1C82">
      <w:pPr>
        <w:pStyle w:val="32"/>
        <w:ind w:firstLine="0"/>
        <w:jc w:val="left"/>
        <w:rPr>
          <w:sz w:val="24"/>
          <w:szCs w:val="24"/>
        </w:rPr>
      </w:pPr>
      <w:r w:rsidRPr="008B6C9F">
        <w:rPr>
          <w:sz w:val="24"/>
          <w:szCs w:val="24"/>
        </w:rPr>
        <w:t xml:space="preserve">Глава  Нижнечеремошинского сельсовета </w:t>
      </w:r>
    </w:p>
    <w:p w:rsidR="005D1C82" w:rsidRPr="008B6C9F" w:rsidRDefault="005D1C82" w:rsidP="005D1C82">
      <w:pPr>
        <w:pStyle w:val="32"/>
        <w:ind w:firstLine="0"/>
        <w:jc w:val="left"/>
        <w:rPr>
          <w:sz w:val="24"/>
          <w:szCs w:val="24"/>
        </w:rPr>
      </w:pPr>
      <w:r w:rsidRPr="008B6C9F">
        <w:rPr>
          <w:sz w:val="24"/>
          <w:szCs w:val="24"/>
        </w:rPr>
        <w:t xml:space="preserve">Краснозерского района Новосибирской области                                          </w:t>
      </w:r>
      <w:proofErr w:type="spellStart"/>
      <w:r w:rsidR="00EB4700">
        <w:rPr>
          <w:sz w:val="24"/>
          <w:szCs w:val="24"/>
        </w:rPr>
        <w:t>Е.Ш.Бельгибаев</w:t>
      </w:r>
      <w:proofErr w:type="spellEnd"/>
    </w:p>
    <w:p w:rsidR="005D1C82" w:rsidRPr="00A913FA" w:rsidRDefault="005D1C82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</w:p>
    <w:p w:rsidR="005D1C82" w:rsidRDefault="005D1C82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Pr="00A913FA" w:rsidRDefault="00801B36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  <w:r w:rsidRPr="00A913FA">
        <w:rPr>
          <w:sz w:val="20"/>
          <w:szCs w:val="20"/>
        </w:rPr>
        <w:t>Исполнитель</w:t>
      </w:r>
    </w:p>
    <w:p w:rsidR="005D1C82" w:rsidRPr="00A913FA" w:rsidRDefault="005D1C82" w:rsidP="005D1C82">
      <w:pPr>
        <w:rPr>
          <w:sz w:val="20"/>
          <w:szCs w:val="20"/>
        </w:rPr>
      </w:pPr>
      <w:proofErr w:type="spellStart"/>
      <w:r w:rsidRPr="00A913FA">
        <w:rPr>
          <w:sz w:val="20"/>
          <w:szCs w:val="20"/>
        </w:rPr>
        <w:t>Синяговская</w:t>
      </w:r>
      <w:proofErr w:type="spellEnd"/>
      <w:r w:rsidRPr="00A913FA">
        <w:rPr>
          <w:sz w:val="20"/>
          <w:szCs w:val="20"/>
        </w:rPr>
        <w:t xml:space="preserve"> М.С.</w:t>
      </w:r>
    </w:p>
    <w:p w:rsidR="005D1C82" w:rsidRPr="00A913FA" w:rsidRDefault="005D1C82" w:rsidP="005D1C82">
      <w:pPr>
        <w:rPr>
          <w:sz w:val="20"/>
          <w:szCs w:val="20"/>
        </w:rPr>
      </w:pPr>
      <w:r w:rsidRPr="00A913FA">
        <w:rPr>
          <w:sz w:val="20"/>
          <w:szCs w:val="20"/>
        </w:rPr>
        <w:t>67-288</w:t>
      </w:r>
    </w:p>
    <w:p w:rsidR="005D1C82" w:rsidRDefault="005D1C82" w:rsidP="005D1C82">
      <w:pPr>
        <w:rPr>
          <w:sz w:val="28"/>
          <w:szCs w:val="28"/>
        </w:rPr>
      </w:pPr>
    </w:p>
    <w:p w:rsidR="005D1C82" w:rsidRPr="00BF5F75" w:rsidRDefault="005D1C82" w:rsidP="005D1C82">
      <w:pPr>
        <w:rPr>
          <w:sz w:val="28"/>
          <w:szCs w:val="28"/>
        </w:rPr>
      </w:pPr>
    </w:p>
    <w:p w:rsidR="005D1C82" w:rsidRDefault="005D1C82" w:rsidP="005D1C82"/>
    <w:p w:rsidR="005D1C82" w:rsidRDefault="005D1C82" w:rsidP="005D1C82">
      <w:pPr>
        <w:rPr>
          <w:b/>
          <w:sz w:val="28"/>
          <w:szCs w:val="28"/>
        </w:rPr>
      </w:pPr>
    </w:p>
    <w:p w:rsidR="005D1C82" w:rsidRDefault="005D1C82" w:rsidP="005D1C82">
      <w:pPr>
        <w:rPr>
          <w:b/>
          <w:sz w:val="28"/>
          <w:szCs w:val="28"/>
        </w:rPr>
      </w:pPr>
    </w:p>
    <w:p w:rsidR="005D1C82" w:rsidRDefault="005D1C82" w:rsidP="005D1C82">
      <w:pPr>
        <w:rPr>
          <w:b/>
          <w:sz w:val="28"/>
          <w:szCs w:val="28"/>
        </w:rPr>
      </w:pPr>
    </w:p>
    <w:p w:rsidR="00CA653A" w:rsidRDefault="00CA653A"/>
    <w:sectPr w:rsidR="00CA653A" w:rsidSect="00CA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AD" w:rsidRDefault="00B342AD" w:rsidP="00613C81">
      <w:r>
        <w:separator/>
      </w:r>
    </w:p>
  </w:endnote>
  <w:endnote w:type="continuationSeparator" w:id="0">
    <w:p w:rsidR="00B342AD" w:rsidRDefault="00B342AD" w:rsidP="0061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090A8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85pt;margin-top:.05pt;width:7pt;height:16.05pt;z-index:251660288;mso-wrap-distance-left:0;mso-wrap-distance-right:0;mso-position-horizontal-relative:page" stroked="f">
          <v:fill opacity="0" color2="black"/>
          <v:textbox inset="0,0,0,0">
            <w:txbxContent>
              <w:p w:rsidR="00216105" w:rsidRDefault="00216105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  <w:r w:rsidR="00216105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2161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21610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2161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AD" w:rsidRDefault="00B342AD" w:rsidP="00613C81">
      <w:r>
        <w:separator/>
      </w:r>
    </w:p>
  </w:footnote>
  <w:footnote w:type="continuationSeparator" w:id="0">
    <w:p w:rsidR="00B342AD" w:rsidRDefault="00B342AD" w:rsidP="0061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090A8D">
    <w:pPr>
      <w:pStyle w:val="a3"/>
      <w:tabs>
        <w:tab w:val="left" w:pos="4827"/>
        <w:tab w:val="left" w:pos="5357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5.75pt;margin-top:.05pt;width:1.1pt;height:16.05pt;z-index:251661312;mso-wrap-distance-left:0;mso-wrap-distance-right:0;mso-position-horizontal-relative:page" stroked="f">
          <v:fill opacity="0" color2="black"/>
          <v:textbox inset="0,0,0,0">
            <w:txbxContent>
              <w:p w:rsidR="00216105" w:rsidRDefault="00216105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  <w:r w:rsidR="00216105">
      <w:t>- -</w:t>
    </w:r>
  </w:p>
  <w:p w:rsidR="00216105" w:rsidRDefault="002161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2161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21610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05" w:rsidRDefault="002161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78F1"/>
    <w:multiLevelType w:val="hybridMultilevel"/>
    <w:tmpl w:val="31D89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C82"/>
    <w:rsid w:val="000610D3"/>
    <w:rsid w:val="00090A8D"/>
    <w:rsid w:val="000B50F5"/>
    <w:rsid w:val="000F50BE"/>
    <w:rsid w:val="00115948"/>
    <w:rsid w:val="00130D3F"/>
    <w:rsid w:val="001A615C"/>
    <w:rsid w:val="001C3AC0"/>
    <w:rsid w:val="001E7E68"/>
    <w:rsid w:val="0020297C"/>
    <w:rsid w:val="00216105"/>
    <w:rsid w:val="0021743F"/>
    <w:rsid w:val="00236D48"/>
    <w:rsid w:val="002603A5"/>
    <w:rsid w:val="00264B08"/>
    <w:rsid w:val="0028017C"/>
    <w:rsid w:val="00285A0C"/>
    <w:rsid w:val="002A421F"/>
    <w:rsid w:val="002B6141"/>
    <w:rsid w:val="002F2184"/>
    <w:rsid w:val="00313F21"/>
    <w:rsid w:val="003440DA"/>
    <w:rsid w:val="003C3E94"/>
    <w:rsid w:val="004069FF"/>
    <w:rsid w:val="00437CE1"/>
    <w:rsid w:val="004421E6"/>
    <w:rsid w:val="0048390D"/>
    <w:rsid w:val="004E3C40"/>
    <w:rsid w:val="004F255D"/>
    <w:rsid w:val="00504C66"/>
    <w:rsid w:val="005B5756"/>
    <w:rsid w:val="005C14E2"/>
    <w:rsid w:val="005D1C82"/>
    <w:rsid w:val="005E211F"/>
    <w:rsid w:val="005F1E82"/>
    <w:rsid w:val="00613C81"/>
    <w:rsid w:val="00677BC7"/>
    <w:rsid w:val="006B6826"/>
    <w:rsid w:val="006D007F"/>
    <w:rsid w:val="006D72B0"/>
    <w:rsid w:val="006E1B74"/>
    <w:rsid w:val="007061E3"/>
    <w:rsid w:val="007375F2"/>
    <w:rsid w:val="007A1DA0"/>
    <w:rsid w:val="007D403A"/>
    <w:rsid w:val="007D5779"/>
    <w:rsid w:val="007D79EE"/>
    <w:rsid w:val="00801B36"/>
    <w:rsid w:val="00813F44"/>
    <w:rsid w:val="00814134"/>
    <w:rsid w:val="00816E34"/>
    <w:rsid w:val="00824963"/>
    <w:rsid w:val="0083199A"/>
    <w:rsid w:val="00882E55"/>
    <w:rsid w:val="00896CFA"/>
    <w:rsid w:val="008A5EFA"/>
    <w:rsid w:val="008B4700"/>
    <w:rsid w:val="008F5F75"/>
    <w:rsid w:val="009104C2"/>
    <w:rsid w:val="0092677D"/>
    <w:rsid w:val="00955D68"/>
    <w:rsid w:val="009A7F2A"/>
    <w:rsid w:val="009E0029"/>
    <w:rsid w:val="009E69B4"/>
    <w:rsid w:val="009F1F02"/>
    <w:rsid w:val="009F40E8"/>
    <w:rsid w:val="00A026B3"/>
    <w:rsid w:val="00A2091F"/>
    <w:rsid w:val="00A26C05"/>
    <w:rsid w:val="00A6742F"/>
    <w:rsid w:val="00A8267F"/>
    <w:rsid w:val="00A96065"/>
    <w:rsid w:val="00AA100C"/>
    <w:rsid w:val="00AA2851"/>
    <w:rsid w:val="00AD2812"/>
    <w:rsid w:val="00AD7FE5"/>
    <w:rsid w:val="00AE322F"/>
    <w:rsid w:val="00B26A60"/>
    <w:rsid w:val="00B342AD"/>
    <w:rsid w:val="00B5012E"/>
    <w:rsid w:val="00B60E25"/>
    <w:rsid w:val="00B8145C"/>
    <w:rsid w:val="00B8464C"/>
    <w:rsid w:val="00BD521B"/>
    <w:rsid w:val="00BE32A0"/>
    <w:rsid w:val="00BE6282"/>
    <w:rsid w:val="00C10B73"/>
    <w:rsid w:val="00CA653A"/>
    <w:rsid w:val="00D031B2"/>
    <w:rsid w:val="00D15E46"/>
    <w:rsid w:val="00D54F83"/>
    <w:rsid w:val="00D93408"/>
    <w:rsid w:val="00D94CD1"/>
    <w:rsid w:val="00DC285A"/>
    <w:rsid w:val="00E145C9"/>
    <w:rsid w:val="00E24231"/>
    <w:rsid w:val="00E80FCB"/>
    <w:rsid w:val="00E91875"/>
    <w:rsid w:val="00EB4700"/>
    <w:rsid w:val="00EB5E50"/>
    <w:rsid w:val="00EE0646"/>
    <w:rsid w:val="00EF2C12"/>
    <w:rsid w:val="00F1155B"/>
    <w:rsid w:val="00F171B2"/>
    <w:rsid w:val="00F37180"/>
    <w:rsid w:val="00F53253"/>
    <w:rsid w:val="00FA3A73"/>
    <w:rsid w:val="00FA3E11"/>
    <w:rsid w:val="00FE7507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C82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1C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5D1C82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5D1C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">
    <w:name w:val="Основной текст с отступом 32"/>
    <w:basedOn w:val="a"/>
    <w:rsid w:val="005D1C82"/>
    <w:pPr>
      <w:ind w:firstLine="708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5D1C82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D1C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toc 1"/>
    <w:basedOn w:val="a"/>
    <w:next w:val="a"/>
    <w:rsid w:val="005D1C82"/>
    <w:rPr>
      <w:sz w:val="28"/>
    </w:rPr>
  </w:style>
  <w:style w:type="paragraph" w:customStyle="1" w:styleId="xl46">
    <w:name w:val="xl46"/>
    <w:basedOn w:val="a"/>
    <w:rsid w:val="005D1C82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31">
    <w:name w:val="Основной текст с отступом 31"/>
    <w:basedOn w:val="a"/>
    <w:rsid w:val="005D1C82"/>
    <w:pPr>
      <w:ind w:firstLine="708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D1C82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D1C82"/>
    <w:pPr>
      <w:suppressLineNumbers/>
    </w:pPr>
  </w:style>
  <w:style w:type="paragraph" w:customStyle="1" w:styleId="LO-Normal">
    <w:name w:val="LO-Normal"/>
    <w:rsid w:val="00EB47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1"/>
    <w:basedOn w:val="LO-Normal"/>
    <w:rsid w:val="00EB4700"/>
    <w:pPr>
      <w:jc w:val="center"/>
    </w:pPr>
    <w:rPr>
      <w:rFonts w:ascii="Arial" w:hAnsi="Arial" w:cs="Arial"/>
      <w:sz w:val="24"/>
    </w:rPr>
  </w:style>
  <w:style w:type="paragraph" w:customStyle="1" w:styleId="210">
    <w:name w:val="Заголовок 21"/>
    <w:basedOn w:val="LO-Normal"/>
    <w:next w:val="LO-Normal"/>
    <w:rsid w:val="00EB4700"/>
    <w:pPr>
      <w:keepNext/>
      <w:jc w:val="center"/>
    </w:pPr>
    <w:rPr>
      <w:rFonts w:ascii="Arial" w:hAnsi="Arial" w:cs="Arial"/>
      <w:sz w:val="24"/>
    </w:rPr>
  </w:style>
  <w:style w:type="paragraph" w:customStyle="1" w:styleId="310">
    <w:name w:val="Основной текст 31"/>
    <w:basedOn w:val="LO-Normal"/>
    <w:rsid w:val="00EB4700"/>
    <w:pPr>
      <w:jc w:val="left"/>
    </w:pPr>
    <w:rPr>
      <w:rFonts w:ascii="Arial" w:hAnsi="Arial" w:cs="Arial"/>
      <w:color w:val="FF0000"/>
    </w:rPr>
  </w:style>
  <w:style w:type="paragraph" w:customStyle="1" w:styleId="2">
    <w:name w:val="Название2"/>
    <w:basedOn w:val="LO-Normal"/>
    <w:rsid w:val="00DC285A"/>
    <w:pPr>
      <w:jc w:val="center"/>
    </w:pPr>
    <w:rPr>
      <w:rFonts w:ascii="Arial" w:hAnsi="Arial" w:cs="Arial"/>
      <w:sz w:val="24"/>
    </w:rPr>
  </w:style>
  <w:style w:type="paragraph" w:customStyle="1" w:styleId="22">
    <w:name w:val="Заголовок 22"/>
    <w:basedOn w:val="LO-Normal"/>
    <w:next w:val="LO-Normal"/>
    <w:rsid w:val="00DC285A"/>
    <w:pPr>
      <w:keepNext/>
      <w:jc w:val="center"/>
    </w:pPr>
    <w:rPr>
      <w:rFonts w:ascii="Arial" w:hAnsi="Arial" w:cs="Arial"/>
      <w:sz w:val="24"/>
    </w:rPr>
  </w:style>
  <w:style w:type="paragraph" w:customStyle="1" w:styleId="3">
    <w:name w:val="Название3"/>
    <w:basedOn w:val="LO-Normal"/>
    <w:rsid w:val="00801B36"/>
    <w:pPr>
      <w:jc w:val="center"/>
    </w:pPr>
    <w:rPr>
      <w:rFonts w:ascii="Arial" w:hAnsi="Arial" w:cs="Arial"/>
      <w:sz w:val="24"/>
    </w:rPr>
  </w:style>
  <w:style w:type="paragraph" w:customStyle="1" w:styleId="23">
    <w:name w:val="Заголовок 23"/>
    <w:basedOn w:val="LO-Normal"/>
    <w:next w:val="LO-Normal"/>
    <w:rsid w:val="00801B36"/>
    <w:pPr>
      <w:keepNext/>
      <w:jc w:val="center"/>
    </w:pPr>
    <w:rPr>
      <w:rFonts w:ascii="Arial" w:hAnsi="Arial" w:cs="Arial"/>
      <w:sz w:val="24"/>
    </w:rPr>
  </w:style>
  <w:style w:type="paragraph" w:customStyle="1" w:styleId="320">
    <w:name w:val="Основной текст 32"/>
    <w:basedOn w:val="LO-Normal"/>
    <w:rsid w:val="00801B36"/>
    <w:pPr>
      <w:jc w:val="left"/>
    </w:pPr>
    <w:rPr>
      <w:rFonts w:ascii="Arial" w:hAnsi="Arial" w:cs="Arial"/>
      <w:color w:val="FF0000"/>
    </w:rPr>
  </w:style>
  <w:style w:type="paragraph" w:customStyle="1" w:styleId="4">
    <w:name w:val="Название4"/>
    <w:basedOn w:val="LO-Normal"/>
    <w:rsid w:val="006D007F"/>
    <w:pPr>
      <w:jc w:val="center"/>
    </w:pPr>
    <w:rPr>
      <w:rFonts w:ascii="Arial" w:hAnsi="Arial" w:cs="Arial"/>
      <w:sz w:val="24"/>
    </w:rPr>
  </w:style>
  <w:style w:type="paragraph" w:customStyle="1" w:styleId="24">
    <w:name w:val="Заголовок 24"/>
    <w:basedOn w:val="LO-Normal"/>
    <w:next w:val="LO-Normal"/>
    <w:rsid w:val="006D007F"/>
    <w:pPr>
      <w:keepNext/>
      <w:jc w:val="center"/>
    </w:pPr>
    <w:rPr>
      <w:rFonts w:ascii="Arial" w:hAnsi="Arial" w:cs="Arial"/>
      <w:sz w:val="24"/>
    </w:rPr>
  </w:style>
  <w:style w:type="paragraph" w:customStyle="1" w:styleId="5">
    <w:name w:val="Название5"/>
    <w:basedOn w:val="LO-Normal"/>
    <w:rsid w:val="001E7E68"/>
    <w:pPr>
      <w:jc w:val="center"/>
    </w:pPr>
    <w:rPr>
      <w:rFonts w:ascii="Arial" w:hAnsi="Arial" w:cs="Arial"/>
      <w:sz w:val="24"/>
    </w:rPr>
  </w:style>
  <w:style w:type="paragraph" w:customStyle="1" w:styleId="25">
    <w:name w:val="Заголовок 25"/>
    <w:basedOn w:val="LO-Normal"/>
    <w:next w:val="LO-Normal"/>
    <w:rsid w:val="001E7E68"/>
    <w:pPr>
      <w:keepNext/>
      <w:jc w:val="center"/>
    </w:pPr>
    <w:rPr>
      <w:rFonts w:ascii="Arial" w:hAnsi="Arial" w:cs="Arial"/>
      <w:sz w:val="24"/>
    </w:rPr>
  </w:style>
  <w:style w:type="paragraph" w:customStyle="1" w:styleId="6">
    <w:name w:val="Название6"/>
    <w:basedOn w:val="LO-Normal"/>
    <w:rsid w:val="001A615C"/>
    <w:pPr>
      <w:jc w:val="center"/>
    </w:pPr>
    <w:rPr>
      <w:rFonts w:ascii="Arial" w:hAnsi="Arial" w:cs="Arial"/>
      <w:sz w:val="24"/>
    </w:rPr>
  </w:style>
  <w:style w:type="paragraph" w:customStyle="1" w:styleId="26">
    <w:name w:val="Заголовок 26"/>
    <w:basedOn w:val="LO-Normal"/>
    <w:next w:val="LO-Normal"/>
    <w:rsid w:val="001A615C"/>
    <w:pPr>
      <w:keepNext/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16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2020-11-27T02:37:00Z</cp:lastPrinted>
  <dcterms:created xsi:type="dcterms:W3CDTF">2015-11-27T03:47:00Z</dcterms:created>
  <dcterms:modified xsi:type="dcterms:W3CDTF">2020-11-27T02:39:00Z</dcterms:modified>
</cp:coreProperties>
</file>