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72"/>
          <w:szCs w:val="72"/>
        </w:rPr>
      </w:pPr>
      <w:r>
        <w:rPr>
          <w:rFonts w:ascii="Times-Roman" w:hAnsi="Times-Roman" w:cs="Times-Roman"/>
          <w:color w:val="000000"/>
          <w:sz w:val="72"/>
          <w:szCs w:val="72"/>
        </w:rPr>
        <w:t>Содержание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I.Представление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сведений о доходах, расходах, об имуществе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и </w:t>
      </w:r>
      <w:proofErr w:type="gram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обязательствах</w:t>
      </w:r>
      <w:proofErr w:type="gram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Лица, обязанные представлять сведения о доходах, расходах, об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имуществеи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обязательствах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Обязательность представления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Сроки представления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Лица, в отношении которых представляются сведения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Отчетный период и отчетная дата представления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Замещение конкретной должности на отчетную дату как основание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дляпредставления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Определение круга лиц (членов семьи), в отношении которых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необходимопредставить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сведения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Рекомендуемые действия при невозможности предоставить сведения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вотношении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члена семьи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II.Заполнение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справки о доходах, расходах, об имуществе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иобязательствах</w:t>
      </w:r>
      <w:proofErr w:type="spellEnd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Титульный лист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Раздел 1. Сведения о доходах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Раздел 2. Сведения о расходах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Раздел 3. Сведения об имуществе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Раздел 4. Сведения о счетах в банках и иных кредитных организациях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Раздел 5. Сведения о ценных бумагах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•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Раздел 6. Сведения об обязательствах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0"/>
          <w:szCs w:val="20"/>
        </w:rPr>
      </w:pPr>
      <w:r>
        <w:rPr>
          <w:rFonts w:ascii="Helvetica-Light" w:hAnsi="Helvetica-Light" w:cs="Helvetica-Light"/>
          <w:color w:val="026399"/>
          <w:sz w:val="20"/>
          <w:szCs w:val="20"/>
        </w:rPr>
        <w:t xml:space="preserve">Минтруд России </w:t>
      </w:r>
      <w:r>
        <w:rPr>
          <w:rFonts w:ascii="Helvetica" w:hAnsi="Helvetica" w:cs="Helvetica"/>
          <w:color w:val="026399"/>
          <w:sz w:val="20"/>
          <w:szCs w:val="20"/>
        </w:rPr>
        <w:t>3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26399"/>
          <w:sz w:val="300"/>
          <w:szCs w:val="300"/>
        </w:rPr>
      </w:pPr>
      <w:r>
        <w:rPr>
          <w:rFonts w:ascii="Times-Roman" w:hAnsi="Times-Roman" w:cs="Times-Roman"/>
          <w:color w:val="026399"/>
          <w:sz w:val="300"/>
          <w:szCs w:val="300"/>
        </w:rPr>
        <w:lastRenderedPageBreak/>
        <w:t>I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00000"/>
          <w:sz w:val="36"/>
          <w:szCs w:val="36"/>
        </w:rPr>
        <w:t>Представление сведений о доходах, расходах, об имуществе и обязательствах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8"/>
          <w:szCs w:val="18"/>
        </w:rPr>
      </w:pPr>
      <w:proofErr w:type="gramStart"/>
      <w:r>
        <w:rPr>
          <w:rFonts w:ascii="Helvetica" w:hAnsi="Helvetica" w:cs="Helvetica"/>
          <w:color w:val="000000"/>
          <w:sz w:val="18"/>
          <w:szCs w:val="18"/>
        </w:rPr>
        <w:t>Лица, обязанные представлять сведения / Обязательность представления сведений / Сроки представления сведений / Лица, в отношении которых представляются сведения / Отчетный период и отчетная дата представления сведений / Замещение конкретной должности на отчетную дату как основание для представления сведений / Определение круга лиц (членов семьи), в отношении которых необходимо представить сведения / Рекомендуемые действия при невозможности представить сведения в отношении члена семьи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C3E5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антикоррупционным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законодательством, 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связи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чем соответствующие сведения указываются на основании правоустанавливающих документов вне зависимости от режима имущества супругов, предусмотренного Семейным кодексом Российской Федерации</w:t>
      </w:r>
      <w:r>
        <w:rPr>
          <w:rFonts w:ascii="TimesNewRomanPSMT" w:hAnsi="TimesNewRomanPSMT" w:cs="TimesNewRomanPSMT"/>
          <w:color w:val="2C3E50"/>
          <w:sz w:val="24"/>
          <w:szCs w:val="24"/>
        </w:rPr>
        <w:t>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1.Сведения о доходах, расходах, об имуществе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обязательствахимущественного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характера представляются лицами,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замещающимидолжности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1)лицом, замещающим государственную должность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государственную должность субъекта Российской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Федерации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униципальную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должность;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2)государственными и муниципальными служащими,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замещающимдолжности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включенные в перечни, утвержденные нормативными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правовымиактами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Российской Федерации;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3)работниками государственных корпораций, Пенсионного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фондаРоссийской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Федерации, Фонда социального страхования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Федерального фонда обязательного медицинского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страхования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ных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организаций, создаваемых Российской Федерацией на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основаниифедеральных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законов, замещающими должности, назначение на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которыеи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освобождение от которых осуществляются Президентом Российской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0"/>
          <w:szCs w:val="20"/>
        </w:rPr>
      </w:pPr>
      <w:r>
        <w:rPr>
          <w:rFonts w:ascii="Helvetica-Light" w:hAnsi="Helvetica-Light" w:cs="Helvetica-Light"/>
          <w:color w:val="026399"/>
          <w:sz w:val="20"/>
          <w:szCs w:val="20"/>
        </w:rPr>
        <w:t xml:space="preserve">Минтруд России </w:t>
      </w:r>
      <w:r>
        <w:rPr>
          <w:rFonts w:ascii="Helvetica" w:hAnsi="Helvetica" w:cs="Helvetica"/>
          <w:color w:val="026399"/>
          <w:sz w:val="20"/>
          <w:szCs w:val="20"/>
        </w:rPr>
        <w:t>4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4)лицами, замещающими должности членов Совета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директоровЦентрального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банка Российской Федерации, иные должности 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Центральномбанке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Российской Федерации, включенные в перечень,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утвержденныйСоветом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директоров Центрального банка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5)работниками организаций, создаваемых для выполнения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задач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оставленных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перед федеральными государственными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органами,замещающими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отдельные должности на основании трудового договора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вданных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организациях, включенные в перечни, утвержденные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федеральнымигосударственными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органами.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2.Сведения о доходах, об имуществе и обязательствах имущественного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характерапредставляются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гражданином, претендующим на замещение (далее – гражданин):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1)государственной должности Российской Федерации,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государственнойдолжности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субъекта Российской Федерации, муниципальной должности;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2)любой должности государственной службы 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поступающим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 службу);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3)должности муниципальной службы, включенной в перечни,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утвержденныенормативными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правовыми актами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4)должности в государственных корпорациях, Пенсионном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фондеРоссийской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Федерации, Фонде социального страхования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Федеральном фонде обязательного медицинского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страхования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ных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организациях, создаваемых Российской Федерацией на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основаниифедеральных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законов, назначение на которую и освобождение от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которойосуществляется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Президентом Российской Федерации или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ПравительствомРоссийской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Федерации, и должности, включенные в перечни,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утвержденныенормативными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актами фондов, локальными нормативными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актамиорганизаций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5)должности члена Совета директоров Центрального банка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должности в Центральном банке Российской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Федерации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,в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ключенные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перечень, утвержденный Советом директоров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Центральногобанка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6)отдельной должности на основании трудового договора 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организациях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,с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оздаваемых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для выполнения задач, поставленных перед федеральными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5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государственными органами,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включенной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перечни, утвержденные федеральными государственными органами.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3.Сведения о доходах, об имуществе и обязательствах имущественного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характерапредставляются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также федеральным государственным служащим, замещающим должность государственной службы, не предусмотренную перечнем должностей, утвержденным Указом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службы, предусмотренной этим перечнем.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Обязательность представления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4.Требованиями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антикоррупционного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законодательства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непредусматривается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освобождение служащего (работника) от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исполненияобязанности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5.При невозможности представить сведения лично служащему (работнику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)р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lastRenderedPageBreak/>
        <w:t>Сроки представления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6.Граждане представляют сведения при подаче документов для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наделенияполномочиями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 должности, назначения или избрания на должность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доназначения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на должность, вместе с основным пакетом документов).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7.Служащие (работники) представляют сведения ежегодно в следующие сроки: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1)не позднее 1 апреля года, следующего за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отчетным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(Президент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члены Правительства Российской Федерации, Секретарь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СоветаБезопасности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Российской Федерации, федеральные государственные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служащие Администрации Президента Российской Федерации);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2)не позднее 30 апреля года, следующего за отчетным (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государственныеслужащие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служащие Центрального банка Российской Федерации,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работникиПенсионного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фонда Российской Федерации, Фонда социального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страхованияРоссийской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Федерации, Федерального фонда обязательного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медицинскогострахования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государственных корпораций, иных организаций, созданных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наосновании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федеральных законов, организаций, создаваемых для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выполнениязадач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поставленных перед федеральными государственными органами).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8.Сведения могут быть представлены служащим (работником) в любое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время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,н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ачиная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1 января года, следующего за отчетным.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9.Откладывать представление сведений до апреля не рекомендуется,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особеннов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случае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планируемого длительного отсутствия служащего (работника), например убытия в служебную командировку или отпуск.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Лица, в отношении которых представляются сведения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Baskerville" w:hAnsi="Baskerville" w:cs="Baskerville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0.Сведения представляются отдельно: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1)в отношении служащего (работника),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2)в отношении его супруги (супруга),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3)в отношении каждого несовершеннолетнего ребенка служащего (работника).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6"/>
          <w:szCs w:val="16"/>
        </w:rPr>
      </w:pPr>
      <w:r>
        <w:rPr>
          <w:rFonts w:ascii="Helvetica" w:hAnsi="Helvetica" w:cs="Helvetica"/>
          <w:color w:val="026399"/>
          <w:sz w:val="16"/>
          <w:szCs w:val="16"/>
        </w:rPr>
        <w:t>Схема 1. Сроки представления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7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Baskerville-Bold" w:hAnsi="Baskerville-Bold" w:cs="Baskerville-Bold"/>
          <w:b/>
          <w:bCs/>
          <w:color w:val="000000"/>
          <w:sz w:val="24"/>
          <w:szCs w:val="24"/>
        </w:rPr>
        <w:t>11.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 xml:space="preserve">Отчетный период и отчетная дата представления </w:t>
      </w:r>
      <w:proofErr w:type="spellStart"/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сведений</w:t>
      </w:r>
      <w:proofErr w:type="gramStart"/>
      <w:r>
        <w:rPr>
          <w:rFonts w:ascii="Baskerville" w:hAnsi="Baskerville" w:cs="Baskerville"/>
          <w:color w:val="000000"/>
          <w:sz w:val="24"/>
          <w:szCs w:val="24"/>
        </w:rPr>
        <w:t>,</w:t>
      </w:r>
      <w:r>
        <w:rPr>
          <w:rFonts w:ascii="TimesNewRomanPSMT" w:hAnsi="TimesNewRomanPSMT" w:cs="TimesNewRomanPSMT"/>
          <w:color w:val="000000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становленные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для граждан и служащих (работников), различны: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1)гражданин представляет: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а) сведения о своих доходах, доходах супруги (супруга)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несовершеннолетнихдетей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полученных за календарный год (с 1 января по 31 декабря), предшествующий году подачи документов;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б) сведения об имуществе, принадлежащем ему, его супруге (супругу) и несовершеннолетним детям на праве собственности, и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2)служащий (работник) представляет ежегодно: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а) сведения о своих доходах и расходах, доходах и расходах супруги (супруга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)и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несовершеннолетних детей, полученных за календарный (отчетный) год (с 1 января по 31 декабря), предшествующий году представления сведений;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б) сведения об имуществе, принадлежащем ему, его супруге (супругу) и несовершеннолетним детям на праве собственности, и об обязательствах имущественного характера по состоянию на конец отчетного периода (31 декабря года, предшествующего году представления сведений).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12. Служащий (работник) должен представить сведения, если по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состояниюна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31 декабря отчетного года: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1)замещаемая им должность была включена в соответствующий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переченьдолжностей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а сам служащий (работник) замещал указанную должность;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2)временно замещаемая им должность была включена 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соответствующийперечень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должностей.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13.Служащий (работник) не представляет сведения, если он назначен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надолжность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8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Определение круга лиц (членов семьи), в отношении которых необходимо представить сведения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14.Сведения о доходах, расходах, об имуществе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обязательствахимущественного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Супруги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15.При представлении сведений в отношении супруги (супруга)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следуетучитывать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положения статей 10 «Заключение брака» и 25 «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Моментпрекращения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брака при его расторжении» Семейного кодекса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16.Согласно статье 10 права и обязанности супругов возникают со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днягосударственной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регистрации заключения брака в органах записи актов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гражданскогосостояния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Таблица 1.Перечень ситуаций и рекомендуемые действия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2C3D4F"/>
          <w:sz w:val="24"/>
          <w:szCs w:val="24"/>
        </w:rPr>
      </w:pPr>
      <w:r>
        <w:rPr>
          <w:rFonts w:ascii="Baskerville-Bold" w:hAnsi="Baskerville-Bold" w:cs="Baskerville-Bold"/>
          <w:b/>
          <w:bCs/>
          <w:color w:val="2C3D4F"/>
          <w:sz w:val="24"/>
          <w:szCs w:val="24"/>
        </w:rPr>
        <w:t>2016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2C3D4F"/>
          <w:sz w:val="13"/>
          <w:szCs w:val="13"/>
        </w:rPr>
      </w:pPr>
      <w:r>
        <w:rPr>
          <w:rFonts w:ascii="Baskerville-Bold" w:hAnsi="Baskerville-Bold" w:cs="Baskerville-Bold"/>
          <w:b/>
          <w:bCs/>
          <w:color w:val="2C3D4F"/>
          <w:sz w:val="13"/>
          <w:szCs w:val="13"/>
        </w:rPr>
        <w:t>2016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2C3D4F"/>
          <w:sz w:val="13"/>
          <w:szCs w:val="13"/>
        </w:rPr>
      </w:pPr>
      <w:r>
        <w:rPr>
          <w:rFonts w:ascii="Baskerville-Bold" w:hAnsi="Baskerville-Bold" w:cs="Baskerville-Bold"/>
          <w:b/>
          <w:bCs/>
          <w:color w:val="2C3D4F"/>
          <w:sz w:val="13"/>
          <w:szCs w:val="13"/>
        </w:rPr>
        <w:t>2016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9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17. Согласно статье 25 Семейного кодекса Российской Федерации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брак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,р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асторгаемый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18. Брак, расторгаемый в судебном порядке, прекращается со дня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вступленияв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законную силу решения суда о расторжении брака (а не в день принятия такого решения).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Таблица 2. Перечень ситуаций и рекомендуемые действия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2C3E50"/>
          <w:sz w:val="24"/>
          <w:szCs w:val="24"/>
        </w:rPr>
      </w:pPr>
      <w:r>
        <w:rPr>
          <w:rFonts w:ascii="Baskerville-Bold" w:hAnsi="Baskerville-Bold" w:cs="Baskerville-Bold"/>
          <w:b/>
          <w:bCs/>
          <w:color w:val="2C3E50"/>
          <w:sz w:val="24"/>
          <w:szCs w:val="24"/>
        </w:rPr>
        <w:t>2016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2C3E50"/>
          <w:sz w:val="13"/>
          <w:szCs w:val="13"/>
        </w:rPr>
      </w:pPr>
      <w:r>
        <w:rPr>
          <w:rFonts w:ascii="Baskerville-Bold" w:hAnsi="Baskerville-Bold" w:cs="Baskerville-Bold"/>
          <w:b/>
          <w:bCs/>
          <w:color w:val="2C3E50"/>
          <w:sz w:val="13"/>
          <w:szCs w:val="13"/>
        </w:rPr>
        <w:t>201620162016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10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Таблица 2. Перечень ситуаций и рекомендуемые действия. Продолжение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Несовершеннолетние дети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19. Статья 60 Конституции Российской Федерации устанавливает,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чтогражданин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Российской Федерации может самостоятельно осуществлять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вполном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объеме свои права и обязанности с 18 лет. Таким образом, ребенок считается совершеннолетним при достижении им возраста 18 лет.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20. При представлении сведений в отношении несовершеннолетних детей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следуетучитывать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, что лицо считается достигшим определенного возраста на следующий день после дня рождения.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11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Таблица 3. Перечень ситуаций и рекомендуемые действия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21. В случае если служащий (работник) является опекуном (попечителем)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,у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сыновителем несовершеннолетнего ребенка, то сведения в отношении данного ребенка подлежат представлению.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22. В случае если супруга (супруг) служащего (работника) является опекуно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м(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попечителем), усыновителем несовершеннолетнего ребенка, то сведения в отношении данного ребенка рекомендуется представить.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2C3E50"/>
          <w:sz w:val="12"/>
          <w:szCs w:val="12"/>
        </w:rPr>
      </w:pPr>
      <w:r>
        <w:rPr>
          <w:rFonts w:ascii="Baskerville-Bold" w:hAnsi="Baskerville-Bold" w:cs="Baskerville-Bold"/>
          <w:b/>
          <w:bCs/>
          <w:color w:val="2C3E50"/>
          <w:sz w:val="12"/>
          <w:szCs w:val="12"/>
        </w:rPr>
        <w:lastRenderedPageBreak/>
        <w:t>2016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2C3E50"/>
          <w:sz w:val="18"/>
          <w:szCs w:val="18"/>
        </w:rPr>
      </w:pPr>
      <w:r>
        <w:rPr>
          <w:rFonts w:ascii="Baskerville-Bold" w:hAnsi="Baskerville-Bold" w:cs="Baskerville-Bold"/>
          <w:b/>
          <w:bCs/>
          <w:color w:val="2C3E50"/>
          <w:sz w:val="12"/>
          <w:szCs w:val="12"/>
        </w:rPr>
        <w:t>20162016</w:t>
      </w:r>
      <w:r>
        <w:rPr>
          <w:rFonts w:ascii="Baskerville-Bold" w:hAnsi="Baskerville-Bold" w:cs="Baskerville-Bold"/>
          <w:b/>
          <w:bCs/>
          <w:color w:val="2C3E50"/>
          <w:sz w:val="18"/>
          <w:szCs w:val="18"/>
        </w:rPr>
        <w:t>2016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12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Таблица 4. Заявление подается: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Рекомендуемые действия при невозможности представить сведения в отношении члена семьи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23.При невозможности по объективным причинам представить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сведенияо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доходах, расходах, об имуществе и обязательствах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имущественногохарактера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своей супруги (супруга), своих несовершеннолетних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детейслужащему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(работнику) следует обратиться с заявлением, предусмотренным абзацем третьим подпункта «б» пункта 2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№ 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конфликта интересов, утвержденного Указом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24.Заявление должно быть направлено до истечения срока, установленного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дляпредставления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служащим (работником) сведений.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В Управление Президента Российской Федерации по вопросам противодействия коррупции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(компании),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порядке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, которые установлены нормативными правовыми актами Российской Федерации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13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Таблица 4. Продолжение. Заявление подается: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В Департамент государственной службы и кадров Правительства Российской Федерации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В подразделение кадровой службы федерального государственного органа по профилактике коррупционных и иных правонарушений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(компании), иной организации, созданной на основании федерального закона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В подразделение по профилактике коррупционных и иных правонарушений Центрального банка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Российской Федерации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Лицами, замещающими должности федеральной государственной службы, должности в государственных корпорациях (компании),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государственными органами, назначение на которые и освобождение от которых осуществляются Правительством Российской Федерации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(компании) и иных организаций, созданных на основании федеральных законов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Лицами, занимающими должности, включенные в перечень, утвержденный Советом директоров Центрального банка Российской Федерации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25. Для служащих (работников) право направить заявление 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невозможностипредставить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сведения о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своих </w:t>
      </w:r>
      <w:r>
        <w:rPr>
          <w:rFonts w:ascii="TimesNewRomanPSMT" w:hAnsi="TimesNewRomanPSMT" w:cs="TimesNewRomanPSMT"/>
          <w:color w:val="026399"/>
          <w:sz w:val="24"/>
          <w:szCs w:val="24"/>
        </w:rPr>
        <w:t>доходах, расходах, об имуществе и обязательствах имущественного характера законодательством не предусмотрено.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26. Для граждан право направить заявление о невозможности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представлениясведений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отношении супруги (супруга) или несовершеннолетних детей законодательством не предусмотрено.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14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26399"/>
          <w:sz w:val="300"/>
          <w:szCs w:val="300"/>
        </w:rPr>
      </w:pPr>
      <w:r>
        <w:rPr>
          <w:rFonts w:ascii="Times-Roman" w:hAnsi="Times-Roman" w:cs="Times-Roman"/>
          <w:color w:val="026399"/>
          <w:sz w:val="300"/>
          <w:szCs w:val="300"/>
        </w:rPr>
        <w:t>II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36"/>
          <w:szCs w:val="36"/>
        </w:rPr>
      </w:pPr>
      <w:r>
        <w:rPr>
          <w:rFonts w:ascii="Helvetica-Bold" w:hAnsi="Helvetica-Bold" w:cs="Helvetica-Bold"/>
          <w:b/>
          <w:bCs/>
          <w:color w:val="026399"/>
          <w:sz w:val="36"/>
          <w:szCs w:val="36"/>
        </w:rPr>
        <w:t>Заполнение справки о доходах, расходах, об имуществе и обязательствах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Титульный лист / Раздел 1. Сведения о доходах / Раздел 2. Сведения о расходах / Раздел 3. Сведения об имуществе / Раздел 4. Сведения о счетах в банках и иных кредитных организациях / Раздел 5. Сведения о ценных бумагах / Раздел 6. Сведения об обязательствах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27.Форма справки о доходах, расходах, об имуществе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обязательствахимущественного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характера утверждена Указом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28.Собственноручное заполнение справки предполагает ее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самостоятельноезаполнение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персональном компьютере (с использованием текстовых редакторов) или иных печатных устройствах с последующим заверением личной подписью на титульной стороне каждого листа, за исключением справок, заполненных с использование специального программного обеспечения «Справки БК», размещенного на официальном сайте Президента Российской Федерации, или «Справка БК+», размещенного на официальном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сайте Минтруда России.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При этом следует контролировать соответствие заполняемой формы аутентичному тексту приложения к Указу Президента Российской Федерации от 23 июня 2014 г. № 460. Не рекомендуется заполнять справку в рукописном виде.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15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ТИТУЛЬНЫЙ ЛИСТ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29.При заполнении титульного листа справки рекомендуется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обратитьвнимание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следующее: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1)фамилия, имя и отчество гражданина, служащего (работника)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редставляющего сведения, указывается (в именительном,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родительном,дательном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падежах) полностью, без сокращений в соответствии с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документом,удостоверяющим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личность. Если сведения представляются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отношениичлена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семьи, то его фамилия, имя и отчество, указываемые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непосредственнопосле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подчеркивания типа родственных связей, приводятся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родительномпадеже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. Фамилия, имя, отчество, указываемые после слов «об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имуществе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ринадлежащем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», приводятся в дательном падеже.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Для справок, заполняемых с использованием СПО «Справки БК», размещенного на официальном сайте Президента Российской Федерации, фамилия, имя и отчество гражданина, служащего (работника) и члена семьи указывается только в именительном падеже.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2)дата рождения (год рождения) указывается в соответствии с записью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вдокументе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удостоверяющем личность;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3)место службы (работы) и замещаемая (занимаемая) должность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соответствии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 приказом о назначении и служебным контрактом (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трудовымдоговором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). В случае, если в период представления сведений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наименованиезамещаемой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(занимаемой) должности изменилось, то указывается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должность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,з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амещаемая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(занимаемая) 31 декабря отчетного года;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4)при наличии нескольких мест работы на титульном листе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указываетсяосновное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место работы, т.е. организация, в которой находится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трудоваякнижка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5)адрес места регистрации указывается по состоянию на дату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представлениясправки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основании записи в паспорте или ином документе,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подтверждающемрегистрацию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месту жительства (наименование субъекта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района, города, иного населенного пункта, улицы, номер дома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иквартиры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почтовый индекс). При наличии временной регистрации ее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адресуказывается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скобках. При отсутствии постоянной регистрации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указываетсявременная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(по паспорту). В случае если служащий (работник),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гражданин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,ч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лен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его семьи не проживает по адресу места регистрации,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скобкахуказывается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адрес фактического проживания.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Доход по основному месту работы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Baskerville" w:hAnsi="Baskerville" w:cs="Baskerville"/>
          <w:color w:val="026399"/>
          <w:sz w:val="24"/>
          <w:szCs w:val="24"/>
        </w:rPr>
        <w:t>3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1.В данной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строкеуказывается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№ 2-НДФЛ, выдаваемой по месту служб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ы(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работы) (графа 5.1 «Общая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суммадохода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»).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32. В том случае, если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замещениегосударственной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должности,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Доход от педагогической и научной деятельности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33.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В данной строке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указываетсясумма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дохода от педагогической деятельности (сумма дохода, содержащаяся в справке № 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деятельности, от публикации статей, учебных пособий и монографий, от использования авторских или иных смежных прав и т.д.).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34.Если педагогическая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илинаучная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-Bold" w:hAnsi="Baskerville-Bold" w:cs="Baskerville-Bold"/>
          <w:b/>
          <w:bCs/>
          <w:color w:val="026399"/>
          <w:sz w:val="24"/>
          <w:szCs w:val="24"/>
        </w:rPr>
      </w:pPr>
      <w:r>
        <w:rPr>
          <w:rFonts w:ascii="Baskerville-Bold" w:hAnsi="Baskerville-Bold" w:cs="Baskerville-Bold"/>
          <w:b/>
          <w:bCs/>
          <w:color w:val="026399"/>
          <w:sz w:val="24"/>
          <w:szCs w:val="24"/>
        </w:rPr>
        <w:t>РАЗДЕЛ 1. СВЕДЕНИЯ О ДОХОДАХ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30. При заполнении данного раздела справки не следует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руководствоватьсясодержанием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термина «доход», определенным в статье 41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Налоговогокодекса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Российской Федерации, поскольку в целях представления сведений под «доходом» следует понимать любые денежные поступления служащего (работника), гражданина, его супруги (супруга), несовершеннолетних детей в наличной или безналичной форме, имевшие место в отчетном периоде. Полученные доходы, в том числе по основному месту работы указываются без вычета налога на доходы физических лиц.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Под «доходом» следует понимать любые денежные поступления в наличной или безналичной форме, имевшие место в отчетном периоде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17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Доход от иной творческой деятельности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35.В данной строке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указываетсясумма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 и т.д.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36. Подлежат указанию в строках 2,3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Доход от вкладов в банках и иных кредитных организациях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37.В данной строке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указываетсяобщая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сумма доходов, полученных (начисленных) в отчетном периоде в виде процентов по любым вкладам (счетам) в банках и иных кредитных организациях, вне зависимости от их вида и валюты, а также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38.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39. Доход, полученный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иностраннойвалюте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указывается в рублях по курсу Банка России на дату получения дохода.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40.Датой получения дохода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повкладам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банках в иностранной валюте является день выплаты дохода, в том числе перечисления дохода на счет служащего (работника) либо по его поручению на счет третьих лиц.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41.Сведения об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официальных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курсахвалют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заданную дату, устанавливаемых Центральным банком Российской Федерации, доступны на официальном сайте Банка России по адресу: http://www.cbr.ru/currency_base/daily.aspx.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42.Не рекомендуется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проводитькакие-либо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самостоятельные расчеты, поскольку вероятно возникновение различного рода ошибок.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43. Особое внимание следует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уделитьхранению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Доход от ценных бумаг и долей участия в коммерческих организациях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44.В данной строке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указываетсясумма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доходов от ценных бумаг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долейучастия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коммерческих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организациях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,в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ключающая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1)дивиденды, полученные служащим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18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(работником), членом его семьи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-а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кционером (участником)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оторганизации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распределенииприбыли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остающейся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посленалогообложения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(в том числе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видепроцентов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привилегированнымакциям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), по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принадлежащимакционеру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(участнику) акциям (долям)пропорционально долям акционеров(участников) в уставном (складочном)капитале этой организации;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2)доход от операций с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ценнымибумагами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в том числе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доходот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погашения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сберегательныхсертификатов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который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выражаетсяв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величине суммы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финансовогорезультата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. Нулевой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отрицательныйдоход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(нулевой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отрицательныйфинансовый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результат) в справке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неуказывается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. Сами ценные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бумагиуказываются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разделе 5 справки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«С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ведения о ценных бумагах» (в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случаеесли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состоянию на отчетную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датуслужащий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(работник), член его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семьиобладал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такими бумагами).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Иные доходы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45. В данной строке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указываютсядоходы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которые не были отражены в строках 1-5 справки.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Так, например, в строке иные доходы могут быть указаны: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1)пенсия;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2)доплаты к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пенсиям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,в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ыплачиваемые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3)все виды пособий (пособие повременной нетрудоспособности,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побеременности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 родам,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единовременноепособие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женщинам, вставшим на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учетв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медицинских учреждениях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ранниесроки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беременности,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единовременноепособие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при рождении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ребенка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,е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жемесячное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пособие по уходу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заребенком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социальное пособие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напогребение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 др.), если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данныевыплаты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не были включены в справку2-НДФЛ, выдаваемую по месту службы(работы);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4)государственный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сертификатна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материнский (семейный) капита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л(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в случае если в отчетном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периодеданный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сертификат либо его часть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былреализован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5)алименты;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6)стипендия;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7)единовременная субсидия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наприобретение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жилого помещени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я(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в случае если в отчетном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периодеденежные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средства перечислены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сосчета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№ 40302 на счет продавца)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ииные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аналогичные выплаты,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напримерденежные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полученныеучастником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накопительно-ипотечнойсистемы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жилищного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обеспечениявоеннослужащих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либо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полученныев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виде разовой социальной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выплатына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погашение части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стоимостистроительства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приобретения жилья(в случае если в отчетном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периодена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счет служащего(работника)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либоего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супруга (супруги)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перечисленыденежные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средства данной выплаты);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19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8)доходы, полученные от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сдачив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аренду или иного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использованиянедвижимого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имущества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,т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ранспортных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средств, в том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числедоходы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полученные от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имущества,переданного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доверительноеуправление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(траст);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9)доходы от реализации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недвижимогоимущества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транспортных средств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ииного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имущества, в том числе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случаепродажи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указанного имущества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членамсемьи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иным родственникам.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Приэтом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рекомендуется указать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види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адрес проданного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недвижимогоимущества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вид и марку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проданноготранспортного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средства (в том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числев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случае зачета стоимости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староготранспортного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средства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стоимостьпри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покупке нового по договора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м«</w:t>
      </w:r>
      <w:proofErr w:type="spellStart"/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трейд-ин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10)доходы по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трудовым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договорампо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совместительству.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При этом рекомендуется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указатьнаименование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 юридический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адресорганизации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от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которой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был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получендоход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11)денежные средства,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полученныев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виде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12)вознаграждения по гражданско-правовым договорам, если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данныйдоход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не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указан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строке 2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настоящегораздела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справки. При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этомрекомендуется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указать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наименованиеи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юридический адрес организации,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откоторой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был получен доход;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13)доходы, полученные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отиспользования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трубопроводов,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линийэлектропередачи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(ЛЭП), линий оптико-волоконной и (или)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беспроводнойсвязи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иных средств связи,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включаякомпьютерные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сети (в случае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наличиядохода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от использования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указанныхобъектов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соответствующие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объектынеобходимо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указать в разделе 3.1«Недвижимое имущество» в строке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«И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ное недвижимое имущество»);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14)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процентыпо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долговым обязательствам;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15)денежные средства, полученные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впорядке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дарения или наследования;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16)возмещение вреда,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причиненногоувечьем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иным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повреждениемздоровья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17)выплаты, связанные с гибель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ю(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смертью), выплаченные наследникам;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18) страховые выплаты при наступлении страхового случая,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19)выплаты, связанные с увольнение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м(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компенсация за неиспользованный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Например, служащий (работник), член его семьи приобрел в отчетном году в автосалоне новый автомобиль за 900,0 тыс. руб., при этом в ходе покупки автосалон оценил имевшийся у служащего (работника), члена его семьи старый автомобиль в 300,0 тыс. руб. и учел данные средства в качестве взноса при покупке нового автомобиля. Оставшуюся сумму служащий (работник), член его семьи выплатил автосалону.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Сумма в размере 300,0 тыс. руб. является доходом и подлежит указанию в строке «Иные доходы»);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20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2-НДФЛ по месту службы (работы);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20)денежные средства, полученные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вкачестве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благотворительной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помощидля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покупки лекарств,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оплатымедицинских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услуг и для иных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целей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.Е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сли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для их получения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открывалсясчет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имя служащего (работника),его супруги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несовершеннолетнегоребенка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то данную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информациюнеобходимо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также отразить в разделе4 справки;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21)суммы полной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частичнойкомпенсации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работникам и (или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)ч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22) выигрыши в лотереях, тотализаторах, конкурсах и иных играх;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23)доходы членов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профсоюзныхорганизаций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полученные от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данныхпрофсоюзных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организаций;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24)доход от реализации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имущества,полученный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наложенным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платежом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.В</w:t>
      </w:r>
      <w:proofErr w:type="spellEnd"/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25)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вознаграждение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олученное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при осуществлении опеки или попечительства на возмездной основе;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26)доход,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полученныйиндивидуальным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предпринимателе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м(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 согласно бухгалтерской(финансовой) отчетности);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27)денежные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выплаты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олученные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награждениипочетными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грамотами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наградамифедеральных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государственныхорганов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государственных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органовсубъектов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Российской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Федерации,муниципальных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образований,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органовместного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самоуправления, которые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невключены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справку 2-НДФЛ;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28)иные аналогичные выплаты.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46. Формой справки не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предусмотреноуказание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товаров, услуг, полученных в натуральной форме.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47. С учетом целей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антикоррупционного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законодательства в строке 6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«Иные доходы» не указываются </w:t>
      </w:r>
      <w:r>
        <w:rPr>
          <w:rFonts w:ascii="TimesNewRomanPSMT" w:hAnsi="TimesNewRomanPSMT" w:cs="TimesNewRomanPSMT"/>
          <w:color w:val="026399"/>
          <w:sz w:val="24"/>
          <w:szCs w:val="24"/>
        </w:rPr>
        <w:t>сведения о денежных средствах, касающихся 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1)со служебными командировками;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2)с оплатой проезда и провоза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багажак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месту использования отпуска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иобратно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в том числе предоставляемой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Указываются денежные средства, полученные в порядке дарения или наследования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21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лицам, работающим и проживающим в районах Крайнего Севера и приравненных к ним местностям;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3)с оплатой стоимости и (или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)в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ыдачи полагающегося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натуральногодовольствия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а также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выплатыденежных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 взамен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этогодовольствия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4)с приобретением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проездныхдокументов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для исполнения служебны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х(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должностных) обязанностей;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5)с оплатой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коммунальных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иныхуслуг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наймом жилого помещения;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6)с внесением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родительскойплаты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за посещение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дошкольногообразовательного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учреждения;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7)с оформлением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нотариальнойдоверенности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почтовыми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расходами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,р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асходами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оплату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услугпредставителя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(возмещаются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порешению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суда);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8)с возмещением расходов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наповышение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профессиональногоуровня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Также не указываются сведения о денежных средствах, полученных: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9) в виде социального,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имущественногоналогового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вычета;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10)от участия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программесофинансирования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пенсии (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доходы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олученные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инвестированиясредств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направленных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наформирование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накопительной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частитрудовой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пенсии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негосударственномпенсионном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фонде, а также от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участияв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программе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софинансированияпенсии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11)от продажи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различного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видаподарочных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сертификатов (карт), выпущенных предприятиями торговли;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12)в качестве бонусных балло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в(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«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кэшбэк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сервис»), бонусов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нанакопительных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дисконтных картах, начисленных банками и иными организациями за пользование их услугами;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13)в качестве возврата налога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надобавленную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стоимость,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уплаченногопри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совершении покупок за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границей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чекам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Tax-free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14) в качестве вознаграждения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донорамза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сданную кровь, ее компоненты (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ииную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помощь) при условии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возмезднойсдачи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15)в виде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кредитов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,з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аймов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. В случае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еслисумма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кредита,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займаравна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превышает500 000 рублей,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тоданное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обязательствофинансового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характераподлежит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указанию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вразделе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6.2 справки.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Не указываются сведения о денежных средствах, касающихся возмещения расходов, связанных со служебными командировками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22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РАЗДЕЛ 2. СВЕДЕНИЯ О РАСХОДАХ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48.Данный раздел справки заполняется только в случае, если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вотчетном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периоде служащим (работником), его супругой (супругом)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инесовершеннолетними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детьми совершена сделка (сделки)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превышает общий доход данного лица и его супруги (супруга) за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три последних года, предшествующих отчетному периоду. Например, при представлении сведений в 2016 году сообщаются сведения о сделках, совершенных в 2015 году.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49.При расчете общего дохода служащего (работника)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егосупруги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2015 году, суммируются доходы служащего (работника) и его супруги (супруга), полученные в 2012, 2013 и 2014 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50. В случае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если сведения о расходах представляются, например, за 2015 г.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посостоянию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31 декабря 2015 г. служащий (работник) уже не состоял в браке, то расчет суммы общего дохода осуществляется только исходя из дохода служащего (работника). При этом в качестве источника получения средств, за счет которых приобретено имущество, в справке может быть указан доход бывшей супруги служащего (работника), несовершеннолетнего ребенка. Для его подтверждения могут быть рассмотрены справки супруги (супруга), несовершеннолетних детей, которые представлялись служащим (работником) в период нахождения в браке (за 2012, 2013, 2014 гг.).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51. Использование для приобретения объекта недвижимого имущества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средств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редоставленных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накопительно-ипотечной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Раздел заполняется в случае, если сумма сделки по приобретению недвижимости, транспортных средств, ценных бумаг, акций, или общая сумма совершенных сделок превышает общий доход лица и его супруг</w:t>
      </w:r>
      <w:proofErr w:type="gramStart"/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и(</w:t>
      </w:r>
      <w:proofErr w:type="gramEnd"/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а) за 3 последних года, предшествующих отчетному периоду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23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супруги (супруга) за три последних года, предшествующих совершению сделки).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52. Данный раздел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не заполняется </w:t>
      </w:r>
      <w:r>
        <w:rPr>
          <w:rFonts w:ascii="TimesNewRomanPSMT" w:hAnsi="TimesNewRomanPSMT" w:cs="TimesNewRomanPSMT"/>
          <w:color w:val="026399"/>
          <w:sz w:val="24"/>
          <w:szCs w:val="24"/>
        </w:rPr>
        <w:t>в следующих случаях: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а) гражданин представляет сведения в связи с назначением на должность;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б) 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 декабря 2012 г. № 230-ФЗ);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в) 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При этом такое имущество отражается в соответствующих разделах справки.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53. При заполнении графы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«Вид приобретенного имущества»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,н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апример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земельный участок, предоставленный для ведения личного подсобного, дачного хозяйства, огородничества, садоводства, индивидуального гаражного или индивидуального жилищного строительства. 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54. При заполнении графы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«Источник получения средств, за счет </w:t>
      </w:r>
      <w:proofErr w:type="spell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которыхприобретено</w:t>
      </w:r>
      <w:proofErr w:type="spellEnd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 имущество» </w:t>
      </w:r>
      <w:r>
        <w:rPr>
          <w:rFonts w:ascii="TimesNewRomanPSMT" w:hAnsi="TimesNewRomanPSMT" w:cs="TimesNewRomanPSMT"/>
          <w:color w:val="026399"/>
          <w:sz w:val="24"/>
          <w:szCs w:val="24"/>
        </w:rPr>
        <w:t>рекомендуется учитывать, что источников получения средств, за счет которых приобретено имущество, может быть несколько, например: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1)доход по основному месту работы служащего (работника), его супруг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и(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супруга);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2)доход от иной разрешенной законом деятельности;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3)доход от вкладов в банках и иных кредитных организациях;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4)накопления за предыдущие годы;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5)наследство;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6)дар;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7)заем;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8)ипотека;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9)иные кредитные обязательства;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10)доход от продажи имущества;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11)доход от сдачи имущества в аренду;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12)единовременная субсидия на приобретение жилого помещения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ииные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аналогичные выплаты, например, денежные средства,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полученныеучастником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накопительно-ипотечной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системы жилищного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обеспечениявоеннослужащих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24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13)средства материнского (семейного) капитала;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14)иные виды доходов.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55. При этом служащий (работник) в свободной форме может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уточнитьобстоятельства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56. Представление документов, подтверждающих источники получения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средств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,н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предусмотрено.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57.В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«Основания приобретения имущества</w:t>
      </w:r>
      <w:proofErr w:type="gram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»</w:t>
      </w:r>
      <w:r>
        <w:rPr>
          <w:rFonts w:ascii="TimesNewRomanPSMT" w:hAnsi="TimesNewRomanPSMT" w:cs="TimesNewRomanPSMT"/>
          <w:color w:val="026399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казываются реквизиты свидетельства о государственной регистрации права собственности на недвижимое имущество и/или регистрационный номер записи в Едином государственном реестре прав на недвижимое имущество и сделок с ним (ЕГРП).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58. Особенности заполнения раздела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«Сведения о расходах»</w:t>
      </w:r>
      <w:r>
        <w:rPr>
          <w:rFonts w:ascii="TimesNewRomanPSMT" w:hAnsi="TimesNewRomanPSMT" w:cs="TimesNewRomanPSMT"/>
          <w:color w:val="026399"/>
          <w:sz w:val="24"/>
          <w:szCs w:val="24"/>
        </w:rPr>
        <w:t>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1)приобретение недвижимого имущества посредством участия </w:t>
      </w:r>
      <w:proofErr w:type="spell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вдолевом</w:t>
      </w:r>
      <w:proofErr w:type="spellEnd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строительстве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. Сведения об объекте долевого строительства,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вотношении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которого заключен договор участия в долевом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строительстве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,о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тражаются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сведениях о расходах в случае, если уплаченная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отчетныйпериод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указанному договору сумма превышает общий доход служащего(работника) и его супруги (супруга) за три последних года,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предшествующихсовершению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сделки.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В случае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если уплаченная по договору (договорам) сумма не превышает общий доход служащего (работника) и его супруги (супруга) за три последних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Сведения об объекте долевого строительства отражаются в сведениях о расходах в случае, если уплаченная сумма превышает общий доход лица и его супруг</w:t>
      </w:r>
      <w:proofErr w:type="gramStart"/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и(</w:t>
      </w:r>
      <w:proofErr w:type="gramEnd"/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а) за 3 последних года, предшествующих совершению сделки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25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года, предшествующих совершению сделки (сделок), информация об имеющихся на отчетную дату 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На практике распространены случаи, когда период с даты выплаты в полном объеме денежных сре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дств в с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собственности на недвижимое имущество, приобретенное на основании договора долевого участия, сведения об этом имуществе подлежат указанию в подразделе 3.1 справки;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2)приобретение недвижимого имущества посредством участия </w:t>
      </w:r>
      <w:proofErr w:type="spell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вкооперативе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. Обязанность представления сведений о расходах возникает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вслучае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если лицо совершило сделку (сделки) по приобретению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недвижимогоимущества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договору купли-продажи пая (части пая), сумма которо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й(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которых) превышает доход служащего (работника) и его супруги (супруга)за три последних года, предшествующих году, в котором совершена сделка(сделки);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3)приобретение ценных бумаг.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Одной (каждой) сделкой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купли-продажиценных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бумаг следует считать действие, в результате которого возникает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правособственности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соответствующие ценные бумаги, приобретенные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личноили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через представителя (брокера) в пределах установленного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ограниченияна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сумму совершаемых сделок.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РАЗДЕЛ 3. СВЕДЕНИЯ ОБ ИМУЩЕСТВЕ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Подраздел 3.1 Недвижимое имущество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59. Понятие недвижимого имущества установлено статьей 130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Гражданскогокодекса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объекты незавершенного строительства. При этом к недвижимым вещам относятся также подлежащие государственной регистрации воздушные и морские суда, суда внутреннего плавания,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космические объекты. Законом к недвижимым вещам может быть отнесено и иное имущество.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60. При заполнении данного подраздела указываются все объекты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недвижимости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,п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ринадлежащие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служащему (работнику), члену семьи на праве собственности, независимо от того, когда они были приобретены, в каком регионе Российской Федерации или в каком государстве зарегистрированы.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61. Указанию также подлежит недвижимое имущество, полученное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порядкенаследования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(выдано свидетельство о праве на наследство) или по решению суда (вступило в законную силу), право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собственности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которое не зарегистрировано в установленном порядке (не осуществлена регистрация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Росреестре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6"/>
          <w:szCs w:val="16"/>
        </w:rPr>
      </w:pPr>
      <w:r>
        <w:rPr>
          <w:rFonts w:ascii="Helvetica" w:hAnsi="Helvetica" w:cs="Helvetica"/>
          <w:color w:val="026399"/>
          <w:sz w:val="16"/>
          <w:szCs w:val="16"/>
        </w:rPr>
        <w:t>Схема 2. Основные объекты недвижимости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27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62. Каждый объект недвижимости, на который зарегистрировано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правособственности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указывается отдельно (например, два земельных участка, расположенные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Заполнение графы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«Вид и наименование имущества»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63. При указании сведений о земельных участках указывается вид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земельногоучастка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(пая, доли): под индивидуальное гаражное, жилищное строительство, дачный, садовый, приусадебный, огородный и другие. При этом: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1)садовый земельный участок - земельный участок,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предоставленныйгражданину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приобретенный им для выращивания плодовых,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ягодных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,о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вощных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бахчевых или иных сельскохозяйственных культур и картофеля,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атакже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для отдыха;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2)огородный земельный участок - земельный участок,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предоставленныйгражданину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приобретенный им для выращивания ягодных, овощных, бахчевых или иных сельскохозяйственных культур и картофеля (с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участка, определенного при зонировании территории);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3)дачный земельный участок - земельный участок,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предоставленныйгражданину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приобретенный им в целях отдыха (с правом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возведенияжилого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строения без права регистрации проживания в нем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жилогодома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 правом регистрации проживания в нем и хозяйственных строений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исооружений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а также с правом выращивания плодовых, ягодных,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овощных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,б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ахчевых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или иных сельскохозяйственных культур и картофеля).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64.В соответствии со статьей 2 Федерального закона от 7 июля 2003 г. № 112-ФЗ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«О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Каждый объект недвижимости, на который зарегистрировано право собственности, указывается отдельно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28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65.В отношении земельных участков под индивидуальное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жилищноестроительство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следует иметь в виду, что объектом индивидуального жилищного строительства является отдельно стоящий жилой дом с количеством этажей не более чем три, предназначенный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для проживания одной семьи (часть 3 статьи 48 Градостроительного кодекса Российской Федерации).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66.Земельный участок под многоквартирным домом не подлежит указанию.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67.При наличии в собственности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жилого, дачного или садового дома,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которыеуказываются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пункте 2 данного раздела, должен быть указан соответствующий земельный участок, на котором он расположен (под индивидуальное жилищное строительство, дачный или садовый). Данный земельный участок 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68. При заполнении пункта 3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«Квартиры»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соответственно вносятся сведения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оней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например 2-комнатная квартира.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69.В строке 4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«Гаражи»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указывается информация об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организованныхместах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хранения автотранспорта - «гараж», «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машино-место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» и другие на основании свидетельства о регистрации права собственности (иного правоустанавливающего документа). Земельный участок, на котором расположен гараж, 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70.В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«Вид собственности» </w:t>
      </w:r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 вид собственности на имуществ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индивидуальная, общая совместная, общая долевая).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71.В соответствии с Гражданским кодексом Российской Федерации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имуществопринадлежит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72.При заполнении справки для совместной собственности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дополнительноуказываются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иные лица, в собственности которых находится имущество (фамилия, имя и отчество физического лица или наименование организации). Для долевой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Земельный участок под многоквартирным домом не подлежит указанию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29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собственности дополнительно указывается доля лица,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сведения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об имуществе которого представляются.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73.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Местонахождение (адрес)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недвижимого имущества указывается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согласноправоустанавливающим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документам.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74. Если правообладателем объекта недвижимого имущества является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физическоелицо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то указывается: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1)индекс;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2)субъект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3)район;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4)город иной населенный пункт (село, поселок и т.д.);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5)улица (проспект, переулок и т.д.);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6)номер дома (владения, участка), корпуса (строения), квартиры.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75. Если недвижимое имущество находится за рубежом, то указывается: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1)наименование государства;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2)населенный пункт (иная единица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административно-территориальногоделения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3)почтовый адрес.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76.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Площадь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объекта недвижимого имущества указывается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наосновании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правоустанавливающих документов. Если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Основание приобретения и источники средств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77.Для каждого объекта недвижимого имущества указывается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основаниеприобретения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например, реквизиты свидетельства о государственной регистрации права собственности, регистрационный номер записи в Едином государственном реестре прав на недвижимое имущество и сделок с ним. Также указываются наименование и реквизиты документа, являющегося основанием для возникновения права собственности (договор купли-продажи, договор мены, договор дарения, свидетельство о праве на наследство, решение суда и др.).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78.Обязанность сообщать сведения об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источнике средств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за счет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которыхприобретено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имущество, находящееся за пределами территории Российской Федерации, распространяется только на лиц, указанных в части 1 статьи 2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Для каждого объекта недвижимого имущества указывается основание приобретения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30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Федерации», а именно на лиц, замещающих (занимающих):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1)государственные должности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2)должности первого заместителя и заместителей Генерального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прокурораРоссийской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3)должности членов Совета директоров Центрального банка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РоссийскойФедерации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4)государственные должности субъектов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5)должности федеральной государственной службы, назначение на которые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иосвобождение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6)должности заместителей руководителей федеральных органов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исполнительнойвласти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7)должности в государственных корпорациях (компаниях), фондах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иныхорганизациях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8)должности глав городских округов, глав муниципальных районов,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главиных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муниципальных образований, исполняющих полномочия глав местных администраций, глав местных администраций;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9)депутатов представительных органов муниципальных районов 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городскихокругов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10)супруг (супругов) и несовершеннолетних детей лиц, указанных в подпунктах«1» - «9» настоящего пункта;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11) должности федеральной государственной службы, должности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государственнойгражданской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31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распространяется);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12)иных лиц в случаях, предусмотренных федеральными законами.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Подраздел 3.2. Транспортные средства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79. В данном подразделе указываются сведения о транспортных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средствах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,н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аходящихся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переданные в пользование по доверенности, находящиеся в угоне, в залоге у банка, полностью негодные к эксплуатации, снятые с регистрационного учета и т.д., собственником которых является служащий (работник), члены его семьи, также подлежат указанию в справке.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80.Изменение регистрационных данных о собственнике по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совершеннымсделкам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направленным на отчуждение в отношении зарегистрированных транспортных средств, осуществляется на основании заявления нового собственника (пункт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24 ноября 2008 г. № 1001 «О порядке регистрации транспортных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средств» (в редакции приказа МВД России от 7 августа 2013 г. № 605).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81. Если транспортное средство по состоянию на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отчетную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датубыло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зарегистрировано на служащего (работника), члена его семьи 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 и зарегистрировано на имя покупателя,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трейд-ин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82. При заполнении графы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«Место регистрации»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указывается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наименованиеоргана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внутренних дел, осуществившего регистрационный учет транспортного средства, например МО ГИБДД ТНРЭР № 2 ГУ МВД России по г. Москве, ОГИБДД ММО МВД России «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Шалинский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», ОГИБДД ММО МВД России по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Новолялинскому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району, 3 отд. МОТОТРЭР ГИБДД УВД по ЦАО г. Москвы и т.д. Указанные данные заполняются согласно свидетельству о регистрации транспортного средства.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Если на отчетную дату транспортное средство уже было отчуждено и зарегистрировано на имя покупателя, то в подразделе 3.2 справки его отражать не следует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32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РАЗДЕЛ 4. СВЕДЕНИЯ О СЧЕТАХ В БАНКАХ И ИНЫХ КРЕДИТНЫХ ОРГАНИЗАЦИЯХ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83.В данном разделе справки отражается информация обо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всехсчетах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открытых по состоянию на отчетную дату, вне зависимости от цели их открытия и использования, в том числе: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1)счета, на которых находятся денежные средства,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принадлежащиеслужащему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(работнику), члену его семьи (или права на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которыепринадлежат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данному лицу), при этом данный служащий (работник)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,ч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лен его семьи не является клиентом банка (в том числе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индивидуальныйинвестиционный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счет);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2)счета с нулевым остатком на 31 декабря отчетного года;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3)счета, открытые в период существования СССР;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4)счета, открытые для погашения кредита;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5)счета пластиковых карт, например, различные виды социальных кар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т(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социальная карта москвича, социальная карта студента, социальная карта учащегося), пластиковых карт для зачисления пенсии, кредитные карты.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В данном разделе сведения о счетах в банках и иных кредитных организациях, которые по состоянию на отчетную дату закрыты, не указываются.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84.Подлежит указанию информация о счетах пластиковых карт даже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случаяхокончания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срока действия этих карт (их блокировки), если счет данной карты не был закрыт банком или иной кредитной организацией по письменному заявлению держателя карты.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85. Указанию в данном разделе справки также подлежат сведения 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наличииобезличенного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металлического счета (в том числе вид счета и металл, в котором он открыт).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Обезличенный металлический счет - счет,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(пункт 2.7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металлами, утвержденного Центральным банком Российской Федерации от 1 ноября 1996 г. № 50).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86. Отражение граммов драгоценного металла в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рублевом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эквивалентеосуществляется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аналогично счетам, открытым в иностранной валюте. Остаток на обезличенном металлическом счете указывается в рублях по курсу Банка России на отчетную дату.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Подлежит указанию информация о счетах пластиковых карт даже в случае окончания срока действия этих карт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33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87. Сведения об учетных ценах на аффинированные драгоценные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металлы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,у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станавливаемые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Центральным банком Российской Федерации, размещены на его официальном сайте: http://www.cbr.ru/hd_base/?PrtId=metall_base_new. Данные учетные цены применяются для целей бухгалтерского учета в кредитных организациях.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88. Служащие (работники), являющиеся держателями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зарплатных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карт,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указываютих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данном разделе, отражая соответственно наименование и адрес банка или иной кредитной организации, вид и валюту счета, дату открытия счета и остаток на карте по состоянию на 31 декабря отчетного года. Счет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зарплатной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карты, как правило, текущий.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Baskerville" w:hAnsi="Baskerville" w:cs="Baskerville"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Кредитные карты, карты с овердрафто</w:t>
      </w:r>
      <w:r>
        <w:rPr>
          <w:rFonts w:ascii="Baskerville" w:hAnsi="Baskerville" w:cs="Baskerville"/>
          <w:color w:val="026399"/>
          <w:sz w:val="24"/>
          <w:szCs w:val="24"/>
        </w:rPr>
        <w:t>м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89. При наличии кредитной карты соответствующие данные (наименование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иадрес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банка или иной кредитной организации, вид и валюта счета, дата открытия счета) указываются в разделе 4 и отражаются в справке лица, на которого оформлен кредитный договор. Учитывая, что средства на кредитной карте отражают обязательства ее держателя перед кредитным учреждением, а не сумму на счете, в графе «остаток на счете» указывается ноль «0».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90. Денежные средства, размещенные держателем на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кредитнойкарте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 не «списанные» банком или кредитной организацией до 31 декабря или иной отчетной даты в счет имеющейся задолженности, в справке указываются как принадлежащие держателю денежные средства, т.е. положительный остаток.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91. Аналогичным образом отражаются сведения о карте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совердрафтом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. Если средства по овердрафту использованы, остаток на данном счете по состоянию на отчетную дату указывается ноль «0».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92. В случае если задолженность по кредитной карте или овердрафту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составляетболее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500 000 рублей, то возникшее в этой связи обязательство финансового характера необходимо указать в подразделе 6.2 справки.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 xml:space="preserve">Вид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____________и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валюта счета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93. Виды банковских счетов определены инструкцией Банка России от 30 мая2014 г. № 153-И «Об открытии и закрытии банковских счетов, счетов по вкладам (депозитам), депозитных счетов».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C3E50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94. Согласно данной Инструкции физическим лицам открываются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следующиевиды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счетов (таблица № 5)</w:t>
      </w:r>
      <w:r>
        <w:rPr>
          <w:rFonts w:ascii="TimesNewRomanPSMT" w:hAnsi="TimesNewRomanPSMT" w:cs="TimesNewRomanPSMT"/>
          <w:color w:val="2C3E50"/>
          <w:sz w:val="24"/>
          <w:szCs w:val="24"/>
        </w:rPr>
        <w:t>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lastRenderedPageBreak/>
        <w:t>В случае если задолженность по кредитной карте или овердрафту составляет более 500 тыс. руб., то возникшее в этой связи обязательство финансового характера необходимо указать в подразделе 6.2 справки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34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18"/>
          <w:szCs w:val="18"/>
        </w:rPr>
      </w:pPr>
      <w:r>
        <w:rPr>
          <w:rFonts w:ascii="Helvetica" w:hAnsi="Helvetica" w:cs="Helvetica"/>
          <w:color w:val="026399"/>
          <w:sz w:val="18"/>
          <w:szCs w:val="18"/>
        </w:rPr>
        <w:t>Таблица 5. Виды счетов для физических лиц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Текущие счета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Счета доверительного управления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Расчетные счета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эскроу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залоговый счет, специальный банковский счет должника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Депозитные счета судов, подразделений службы судебных приставов, правоохранительных органов, нотариусов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Счета по вкладам (депозитам)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Открываются физическим лицам для совершения операций, не связанных с предпринимательской деятельностью или частной практикой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Открываются доверительному управляющему для осуществления операций, связанных с деятельностью по доверительному управлению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Открываются юридическим лицам, не являющимся кредитными организациями, а также индивидуальным предпринимателям или физическим лицам, занимающимся в установленном законодательством Российской Федерации порядке частной практикой, для совершения операций, связанных с предпринимательской деятельностью или частной практикой.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Расчетные счета открываются представительствам кредитных организаций, а также некоммерческим организациям для совершения операций, связанных с достижением целей, для которых некоммерческие организации созданы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осуществления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предусмотренных им операций соответствующего вида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Открываются соответственно судам, подразделениям службы судебных приставов, правоохранительным органам, нотариусам для зачисления денежных средств, поступающих во временное распоряжение,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Открываются соответственно физическим и юридическим лицам для учета денежных средств, размещаемых в банках с целью получения доходов в виде процентов, начисляемых на сумму размещенных денежных средств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35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95. Для получения достоверных сведений о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дате открытия счета </w:t>
      </w:r>
      <w:r>
        <w:rPr>
          <w:rFonts w:ascii="TimesNewRomanPSMT" w:hAnsi="TimesNewRomanPSMT" w:cs="TimesNewRomanPSMT"/>
          <w:color w:val="026399"/>
          <w:sz w:val="24"/>
          <w:szCs w:val="24"/>
        </w:rPr>
        <w:t>в банк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е(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иной кредитной организации), виде такого счета следует обратиться в банк или соответствующую кредитную организацию. Указание даты выпуска (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перевыпуска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) пластиковой карты не допускается.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Выдача клиентам банка выписок из лицевых счетов и приложений к ним осуществляется в порядке и сроки, которые предусмотрены соответствующим договором, на бумажном носителе либо в электронном виде (по каналам связи или с применением различных носителей информации) (абзац 24 пункта 2.1 части III приложения к Положению Центрального банка Российской Федерации от 16 июля 2012 г. № 385-П «О правилах ведения бухгалтерского учета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кредитных организациях, расположенных на территории Российской Федерации»).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96.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Остаток на счете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указывается по состоянию на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отчетнуюдату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. Для счетов в иностранной валюте остаток указывается в рублях по курсу Банка России на отчетную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дату. 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http://www.cbr.ru/currency_base/daily.aspx.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97.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Графа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«Сумма поступивших на счет денежных средств»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заполняется </w:t>
      </w:r>
      <w:proofErr w:type="spell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только</w:t>
      </w:r>
      <w:r>
        <w:rPr>
          <w:rFonts w:ascii="TimesNewRomanPSMT" w:hAnsi="TimesNewRomanPSMT" w:cs="TimesNewRomanPSMT"/>
          <w:color w:val="026399"/>
          <w:sz w:val="24"/>
          <w:szCs w:val="24"/>
        </w:rPr>
        <w:t>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Например, при представлении сведений в 2016 году указывается общая сумма денежных средств, поступивших на счет в 2015 году, если эта сумма превышает общий доход служащего (работника) и его супруги (супруга) за 2013, 2014 и 2015 годы. В этом случае к справке прилагается выписка о движении денежных средств по данному счету за отчетный период. При этом в данной графе следует сделать специальную пометку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«Выписка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от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_______ № прилагается на л.».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98. Для счетов в иностранной валюте сумма указывается в рублях по курсу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БанкаРоссии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отчетную дату.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Ликвидация кредитной организации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99.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Если по состоянию на отчетную дату владельцем счета заявление 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закрытиисчета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конкурсному управляющему не направлялось и он не получал уведомление о закрытии счета, а также в Единый государственный реестр юридических лиц не внесена запись о государственной регистрации кредитной организации в связи с ликвидацией, счет не считается закрытым, следовательно, сведения о нем подлежат указанию в данном разделе справки.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100. Ведение Единого государственного реестра юридических лиц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осуществляетсяФедеральной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налоговой службой и ее территориальными органами. В этой связи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для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Для счетов в иностранной валюте остаток указывается в рублях по курсу Банка России на отчетную дату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36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101.В данном разделе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не указываются счета,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связанные с платежами за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услугимобильной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связи, жилищно-коммунальные услуги посредством использования технологий дистанционного банковского обслуживания, брокерские счета, сведения об участии в программе государственного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софинансирования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пенсии, действующей в соответствии с Федеральным законом от 30 апреля 2008 г. № 56-ФЗ «О дополнительных страховых взносах на накопительную часть трудовой пенсии и государственной поддержке формирования пенсионных накоплений», а также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сведения о размещении денежных сре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дств в р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азличных электронных платежных системах, например «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Яндекс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деньги», «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Qiwi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кошелек» и др.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37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РАЗДЕЛ 5. СВЕДЕНИЯ О ЦЕННЫХ БУМАГАХ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102.В данном разделе указываются сведения об имеющихся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ценныхбумагах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долях участия в уставных капиталах коммерческих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организацийи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фондах. Доход от имеющихся ценных бумаг указывается в разделе 1 «Сведения о доходах» (строка 5 «Доход от ценных бумаг и долей участия в коммерческих организациях»).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Подраздел 5.1. Акции и иное участие в коммерческих организациях и фондах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103.В соответствии с Федеральным законом от 22 апреля 1996 г. № 39-ФЗ «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Орынке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104. 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«Наименование и организационно-правовая форма организации</w:t>
      </w:r>
      <w:proofErr w:type="gram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»</w:t>
      </w:r>
      <w:r>
        <w:rPr>
          <w:rFonts w:ascii="TimesNewRomanPSMT" w:hAnsi="TimesNewRomanPSMT" w:cs="TimesNewRomanPSMT"/>
          <w:color w:val="026399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105.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Уставный капитал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указывается согласно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учредительным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документаморганизации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http://www.cbr.ru/currency_base/daily.aspx.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106.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Доля участия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выражается в процентах от уставного капитала.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Дляакционерных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обществ указываются также номинальная стоимость и количество акций.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Подраздел 5.2. Иные ценные бумаги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107.К ценным бумагам относятся акция, вексель, закладная,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инвестиционныйпай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паевого инвестиционного фонда, коносамент, облигация, чек, сберегательный сертификат,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38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108.В подразделе 5.2 указываются все ценные бумаги по видам (облигации,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векселяи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другие), за исключением акций, указанных в подразделе 5.1.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109.В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«Общая стоимость»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указывается общая стоимость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ценныхбумаг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данного вида исходя из стоимости их приобретения (если ее нельзя определить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-и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сходя из рыночной стоимости или номинальной стоимости). Для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обязательств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,в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ыраженных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иностранной валюте, стоимость указывается в рублях по курсу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БанкаРоссии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отчетную дату. Сведения об официальных курсах валют на заданную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дату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,у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станавливаемые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Центральным банком Российской Федерации, размещены на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егоофициальном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сайте: http://www.cbr.ru/currency_base/daily.aspx.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39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РАЗДЕЛ 6. СВЕДЕНИЯ ОБ ОБЯЗАТЕЛЬСТВАХ ИМУЩЕСТВЕННОГО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Подраздел 6.1. Объекты недвижимого имущества, находящиеся в пользовании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110.В данном подразделе указывается недвижимое имущество (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муниципальное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,в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едомственное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111.Данный подраздел заполняется в обязательном порядке теми служащим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и(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работниками), членами их семьи,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112.В том числе указанию подлежат сведения 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жиломпомещении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(дом, квартира, комната), нежилом помещении, земельном участке, гараже и т.д.: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1)не принадлежащем служащему (работнику)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членамего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семьи на праве собственности или на праве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нанимателя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,в</w:t>
      </w:r>
      <w:proofErr w:type="spellEnd"/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котором у служащего (работника), членов его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семьиимеется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регистрация (постоянная или временная);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2)где служащий (работник), члены его семьи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фактическипроживают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без заключения договора аренды, безвозмездного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пользованияили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социального найма;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3)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занимаемых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договору аренды (найма, поднайма);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4)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занимаемых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договорам социального найма;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5)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находящихся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завершающей стадии строительства и возможно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пригодныек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проживанию, но не зарегистрированные в установленном порядке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органамиРосреестра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т.е. без свидетельства о праве собственности.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113.При этом указывается общая площадь объекта недвижимого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имущества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,н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аходящегося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пользовании.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Данный подраздел заполняется в обязательном порядке теми служащими, членами их семьи, которые по месту прохождения службы или месту работы имеют временную регистрацию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40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114.Сведения об объектах недвижимого имущества, находящихся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пользовании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,у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казываются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 состоянию на отчетную дату.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115.В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«Вид имущества» </w:t>
      </w:r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 вид недвижимого имуществ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а(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земельный участок, жилой дом, дача, квартира и др.).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116.В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«Вид и сроки пользования» </w:t>
      </w:r>
      <w:r>
        <w:rPr>
          <w:rFonts w:ascii="TimesNewRomanPSMT" w:hAnsi="TimesNewRomanPSMT" w:cs="TimesNewRomanPSMT"/>
          <w:color w:val="026399"/>
          <w:sz w:val="24"/>
          <w:szCs w:val="24"/>
        </w:rPr>
        <w:t>указываются вид пользования (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аренда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,б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езвозмездное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пользование и др.) и сроки пользования.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117.В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«Основание пользования» </w:t>
      </w:r>
      <w:r>
        <w:rPr>
          <w:rFonts w:ascii="TimesNewRomanPSMT" w:hAnsi="TimesNewRomanPSMT" w:cs="TimesNewRomanPSMT"/>
          <w:color w:val="026399"/>
          <w:sz w:val="24"/>
          <w:szCs w:val="24"/>
        </w:rPr>
        <w:t>указываются основание пользовани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я(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договор, фактическое предоставление и др.), а также реквизиты (дата, номер) соответствующего договора или акта.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118.В данном подразделе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не указывается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недвижимое имущество,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котороенаходится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119.В случае, если объект недвижимого имущества находится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долевойсобственности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 служащего (работника) и его супруги, сведения о том, что служащий (работник) пользуется долей объекта недвижимого имущества, принадлежащей на праве собственности его супруге, в подраздел 6.1. не вносятся. При этом данные доли собственности должны быть отражены в подразделе 3.1. справок служащего (работника) и его супруги.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26399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26399"/>
          <w:sz w:val="24"/>
          <w:szCs w:val="24"/>
        </w:rPr>
        <w:t>Подраздел 6.2. Срочные обязательства финансового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120.В данном подразделе указывается каждое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имеющиеся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на отчетную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датусрочное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обязательство финансового характера на сумму,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равную или превышающую </w:t>
      </w:r>
      <w:r>
        <w:rPr>
          <w:rFonts w:ascii="TimesNewRomanPSMT" w:hAnsi="TimesNewRomanPSMT" w:cs="TimesNewRomanPSMT"/>
          <w:color w:val="026399"/>
          <w:sz w:val="24"/>
          <w:szCs w:val="24"/>
        </w:rPr>
        <w:t>500 000 рублей, кредитором или должником по которым является служащий (работник), его супруга (супруг), несовершеннолетний ребенок.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121.В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«Содержание обязательства» </w:t>
      </w:r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 существо обязательств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а(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заем, кредит и другие).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122.В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«Кредитор (должник)»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указывается вторая сторона обязательства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иее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правовое положение в данном обязательстве (кредитор или должник), его фамилия, имя и отчество (наименование юридического лица), адрес.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Например,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1)если служащий (работник), его супруга (супруг) взял кредит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СбербанкеРоссии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 является должником, то в графе «Кредитор (должник)»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указываетсявторая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сторона обязательства: кредитор ОАО «Сбербанк России»;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41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2)если служащий (работник), его супруга (супруг) заключил договор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займаденежных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средств и является займодавцем, то в графе «Кредитор (должник)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»у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казываются фамилия, имя, отчество и адрес должника: должник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ИвановИван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Иванович, г. Москва, Ленинский проспект, д.8, кв. 1.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Основаниемвозникновения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обязательства в этом случае является договор займа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суказанием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даты подписания.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123. В графе «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Основание возникновения»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указываются основание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возникновенияобязательства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а также реквизиты (дата, номер) соответствующего договора или акта.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124.В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«Сумма обязательства / размер обязательства по состоянию </w:t>
      </w:r>
      <w:proofErr w:type="spell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наотчетную</w:t>
      </w:r>
      <w:proofErr w:type="spellEnd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 дату»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указываются сумма основного обязательства (без суммы процентов)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>(т.е. сумма кредита, долга) и размер обязательства (оставшийся непогашенным долг) по состоянию на отчетную дату. Для обязательств, выраженных в иностранной валюте, сумма указывается в рублях по курсу Банка России на отчетную дату. Сведения об официальных курсах валют на заданную дату, устанавливаемые Центральным банком Российской Федерации, размещены на его официальном сайте: http://www.cbr.ru/currency_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base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/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daily.aspx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125.В графе 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«Условия обязательства»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указываются годовая процентная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ставкаобязательства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, заложенное в обеспечение обязательства имущество, выданные в обеспечение исполнения обязательства гарантии и поручительства.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126.Помимо прочего подлежат указанию: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1) договор о предоставлении кредита, в том числе при наличии у лица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кредитнойкарты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 доступным лимитом овердрафта (указываются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обязательства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,в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озникшие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в связи с имеющейся задолженностью по кредитной карте наконец отчетного периода равной или превышающей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500 000 рублей);</w:t>
      </w:r>
      <w:proofErr w:type="gramEnd"/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2)договор финансовой аренды (лизинг);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3)договор займа;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4)договор финансирования под уступку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денежноготребования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5)обязательства, связанные с заключением договора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об уступке права требования;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6)обязательства вследствие причинения вреда (финансовые);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Указывается каждое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имеющиеся</w:t>
      </w:r>
      <w:proofErr w:type="gramEnd"/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 xml:space="preserve"> на отчетную дату срочное обязательство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финансового характера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на сумму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26399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26399"/>
          <w:sz w:val="24"/>
          <w:szCs w:val="24"/>
        </w:rPr>
        <w:t>≥ 500 тыс. руб.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42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7)обязательства по договору поручительства (в случае, если по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состояниюна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отчетную дату должник не исполняет или исполняет обязательства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передкредитором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ненадлежащим образом и соответствующие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обязательствавозникли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 поручителя);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8)обязательства по уплате алиментов (если по состоянию на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отчетную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датусумма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невыплаченных алиментов равна или превышает 500 000 руб.);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9)обязательства по выплате арендной платы за наем жилого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нежилогопомещения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(если по состоянию на отчетную дату сумма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невыплаченнойарендной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платы равна или превышает 500 000 руб.);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10)иные обязательства, в том числе установленные решением суда.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127.</w:t>
      </w: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Отдельные виды срочных обязательств финансового характера: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1)участие в долевом строительстве объекта недвижимости.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До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получениясвидетельства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 государственной регистрации объекта долевого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строительстваинформация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об имеющихся на отчетную дату обязательствах по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договорудолевого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строительства подлежит отражению в данном подразделе. При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этомне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имеет значения, оформлялся ли кредитный договор с банком или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инойкредитной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организацией для оплаты по указанному договору.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MT" w:hAnsi="TimesNewRomanPSMT" w:cs="TimesNewRomanPSMT"/>
          <w:color w:val="026399"/>
          <w:sz w:val="24"/>
          <w:szCs w:val="24"/>
        </w:rPr>
        <w:t>На практике распространены случаи, когда период с даты выплаты в полном объеме денежных сре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дств в с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В этой связи сведения об имеющихся на отчетную дату обязательствах имущественного характера застройщика по договору долевого участия по отношению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 3 подраздела 6.2 справки указывается вторая сторона </w:t>
      </w:r>
      <w:r>
        <w:rPr>
          <w:rFonts w:ascii="TimesNewRomanPSMT" w:hAnsi="TimesNewRomanPSMT" w:cs="TimesNewRomanPSMT"/>
          <w:color w:val="026399"/>
          <w:sz w:val="24"/>
          <w:szCs w:val="24"/>
        </w:rPr>
        <w:lastRenderedPageBreak/>
        <w:t xml:space="preserve">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отразить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26399"/>
          <w:sz w:val="24"/>
          <w:szCs w:val="24"/>
        </w:rPr>
      </w:pPr>
      <w:r>
        <w:rPr>
          <w:rFonts w:ascii="Helvetica-Light" w:hAnsi="Helvetica-Light" w:cs="Helvetica-Light"/>
          <w:color w:val="026399"/>
          <w:sz w:val="24"/>
          <w:szCs w:val="24"/>
        </w:rPr>
        <w:t xml:space="preserve">Минтруд России </w:t>
      </w:r>
      <w:r>
        <w:rPr>
          <w:rFonts w:ascii="Helvetica" w:hAnsi="Helvetica" w:cs="Helvetica"/>
          <w:color w:val="026399"/>
          <w:sz w:val="24"/>
          <w:szCs w:val="24"/>
        </w:rPr>
        <w:t>43</w:t>
      </w:r>
    </w:p>
    <w:p w:rsidR="00317161" w:rsidRDefault="00317161" w:rsidP="003171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26399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2)обязательства по ипотеке в случае разделения суммы кредита </w:t>
      </w:r>
      <w:proofErr w:type="spellStart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>междусупругами</w:t>
      </w:r>
      <w:proofErr w:type="spellEnd"/>
      <w:r>
        <w:rPr>
          <w:rFonts w:ascii="TimesNewRomanPS-BoldMT" w:hAnsi="TimesNewRomanPS-BoldMT" w:cs="TimesNewRomanPS-BoldMT"/>
          <w:b/>
          <w:bCs/>
          <w:color w:val="026399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Согласно пунктам 4 и 5 статьи 9 Федерального закона от 16июля 1998 г. № 102-ФЗ «Об ипотеке (залоге недвижимости)»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обязательство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,о</w:t>
      </w:r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>беспечиваемое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ипотекой, должно быть названо в договоре об ипотеке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суказанием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его суммы, основания возникновения и срока исполнения. В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техслучаях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когда это обязательство основано на каком-либо договоре,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должныбыть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указаны стороны этого договора, дата и место его заключения.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Еслиобеспечиваемое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ипотекой обязательство подлежит исполнению по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частям</w:t>
      </w:r>
      <w:proofErr w:type="gramStart"/>
      <w:r>
        <w:rPr>
          <w:rFonts w:ascii="TimesNewRomanPSMT" w:hAnsi="TimesNewRomanPSMT" w:cs="TimesNewRomanPSMT"/>
          <w:color w:val="026399"/>
          <w:sz w:val="24"/>
          <w:szCs w:val="24"/>
        </w:rPr>
        <w:t>,в</w:t>
      </w:r>
      <w:proofErr w:type="spellEnd"/>
      <w:proofErr w:type="gram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договоре об ипотеке должны быть указаны сроки (периодичность)соответствующих платежей и их размеры либо условия,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позволяющиеопределить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 эти размеры.</w:t>
      </w:r>
    </w:p>
    <w:p w:rsidR="002C2046" w:rsidRDefault="00317161" w:rsidP="00317161"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созаемщиками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>
        <w:rPr>
          <w:rFonts w:ascii="TimesNewRomanPSMT" w:hAnsi="TimesNewRomanPSMT" w:cs="TimesNewRomanPSMT"/>
          <w:color w:val="026399"/>
          <w:sz w:val="24"/>
          <w:szCs w:val="24"/>
        </w:rPr>
        <w:t>созаемщиков</w:t>
      </w:r>
      <w:proofErr w:type="spellEnd"/>
      <w:r>
        <w:rPr>
          <w:rFonts w:ascii="TimesNewRomanPSMT" w:hAnsi="TimesNewRomanPSMT" w:cs="TimesNewRomanPSMT"/>
          <w:color w:val="026399"/>
          <w:sz w:val="24"/>
          <w:szCs w:val="24"/>
        </w:rPr>
        <w:t>.__</w:t>
      </w:r>
    </w:p>
    <w:sectPr w:rsidR="002C2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Helvetica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Baskerville-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-Obliqu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161"/>
    <w:rsid w:val="002C2046"/>
    <w:rsid w:val="0031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12068</Words>
  <Characters>68791</Characters>
  <Application>Microsoft Office Word</Application>
  <DocSecurity>0</DocSecurity>
  <Lines>573</Lines>
  <Paragraphs>161</Paragraphs>
  <ScaleCrop>false</ScaleCrop>
  <Company/>
  <LinksUpToDate>false</LinksUpToDate>
  <CharactersWithSpaces>80698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2017-10-05T03:58:00Z</dcterms:created>
  <dcterms:modified xsi:type="dcterms:W3CDTF">2017-10-05T04:00:00Z</dcterms:modified>
</cp:coreProperties>
</file>